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9"/>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b/>
          <w:bCs/>
          <w:color w:val="auto"/>
          <w:sz w:val="40"/>
          <w:szCs w:val="40"/>
          <w:highlight w:val="none"/>
        </w:rPr>
      </w:pPr>
      <w:bookmarkStart w:id="0" w:name="_Toc5725"/>
      <w:bookmarkStart w:id="1" w:name="_Toc578"/>
      <w:bookmarkStart w:id="2" w:name="_Toc6478"/>
      <w:r>
        <w:rPr>
          <w:rFonts w:hint="eastAsia"/>
          <w:b/>
          <w:bCs/>
          <w:color w:val="auto"/>
          <w:sz w:val="40"/>
          <w:szCs w:val="40"/>
          <w:highlight w:val="none"/>
        </w:rPr>
        <w:t xml:space="preserve">项目编号：510101202100449 </w:t>
      </w:r>
    </w:p>
    <w:p>
      <w:pPr>
        <w:pStyle w:val="3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auto"/>
          <w:sz w:val="40"/>
          <w:szCs w:val="40"/>
          <w:highlight w:val="none"/>
          <w:lang w:val="en-US" w:eastAsia="zh-CN"/>
        </w:rPr>
      </w:pPr>
      <w:r>
        <w:rPr>
          <w:rFonts w:hint="eastAsia"/>
          <w:b/>
          <w:bCs/>
          <w:color w:val="auto"/>
          <w:sz w:val="40"/>
          <w:szCs w:val="40"/>
          <w:highlight w:val="none"/>
          <w:lang w:val="en-US" w:eastAsia="zh-CN"/>
        </w:rPr>
        <w:t>内部编号：ZCQXZB-2021-0259B</w:t>
      </w:r>
    </w:p>
    <w:p>
      <w:pPr>
        <w:pStyle w:val="3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auto"/>
          <w:sz w:val="40"/>
          <w:szCs w:val="40"/>
          <w:highlight w:val="none"/>
        </w:rPr>
      </w:pPr>
      <w:r>
        <w:rPr>
          <w:rFonts w:hint="eastAsia"/>
          <w:b/>
          <w:bCs/>
          <w:color w:val="auto"/>
          <w:sz w:val="40"/>
          <w:szCs w:val="40"/>
          <w:highlight w:val="none"/>
        </w:rPr>
        <w:t>项目名称：</w:t>
      </w:r>
      <w:r>
        <w:rPr>
          <w:rFonts w:hint="eastAsia"/>
          <w:b/>
          <w:bCs/>
          <w:color w:val="auto"/>
          <w:sz w:val="40"/>
          <w:szCs w:val="40"/>
          <w:highlight w:val="none"/>
          <w:lang w:val="en-US" w:eastAsia="zh-CN"/>
        </w:rPr>
        <w:t>成都市技师学院(成都工贸职业技术学院)BIM技术综合实训室设备采购项目</w:t>
      </w:r>
      <w:r>
        <w:rPr>
          <w:rFonts w:hint="eastAsia"/>
          <w:b/>
          <w:bCs/>
          <w:color w:val="auto"/>
          <w:sz w:val="40"/>
          <w:szCs w:val="40"/>
          <w:highlight w:val="none"/>
        </w:rPr>
        <w:t xml:space="preserve"> </w:t>
      </w:r>
    </w:p>
    <w:p>
      <w:pPr>
        <w:pStyle w:val="39"/>
        <w:keepNext w:val="0"/>
        <w:keepLines w:val="0"/>
        <w:pageBreakBefore w:val="0"/>
        <w:widowControl w:val="0"/>
        <w:kinsoku/>
        <w:wordWrap w:val="0"/>
        <w:overflowPunct/>
        <w:topLinePunct/>
        <w:autoSpaceDE/>
        <w:autoSpaceDN/>
        <w:bidi w:val="0"/>
        <w:adjustRightInd w:val="0"/>
        <w:snapToGrid w:val="0"/>
        <w:spacing w:before="4369" w:beforeLines="1400" w:after="4369" w:afterLines="1400" w:line="240" w:lineRule="auto"/>
        <w:jc w:val="center"/>
        <w:textAlignment w:val="auto"/>
        <w:rPr>
          <w:rFonts w:hint="eastAsia"/>
          <w:b/>
          <w:bCs/>
          <w:color w:val="auto"/>
          <w:sz w:val="96"/>
          <w:szCs w:val="96"/>
          <w:highlight w:val="none"/>
        </w:rPr>
      </w:pPr>
      <w:r>
        <w:rPr>
          <w:rFonts w:hint="eastAsia"/>
          <w:b/>
          <w:bCs/>
          <w:color w:val="auto"/>
          <w:sz w:val="96"/>
          <w:szCs w:val="96"/>
          <w:highlight w:val="none"/>
        </w:rPr>
        <w:t>招标文件</w:t>
      </w:r>
    </w:p>
    <w:p>
      <w:pPr>
        <w:pStyle w:val="3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28"/>
          <w:szCs w:val="28"/>
          <w:highlight w:val="none"/>
        </w:rPr>
      </w:pPr>
      <w:r>
        <w:rPr>
          <w:rFonts w:hint="eastAsia"/>
          <w:b/>
          <w:bCs/>
          <w:color w:val="auto"/>
          <w:sz w:val="28"/>
          <w:szCs w:val="28"/>
          <w:highlight w:val="none"/>
        </w:rPr>
        <w:t>中国·四川</w:t>
      </w:r>
    </w:p>
    <w:p>
      <w:pPr>
        <w:pStyle w:val="3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rPr>
        <w:t>采   购   人：</w:t>
      </w:r>
      <w:r>
        <w:rPr>
          <w:rFonts w:hint="eastAsia"/>
          <w:b/>
          <w:bCs/>
          <w:color w:val="auto"/>
          <w:sz w:val="28"/>
          <w:szCs w:val="28"/>
          <w:highlight w:val="none"/>
          <w:lang w:eastAsia="zh-CN"/>
        </w:rPr>
        <w:t>成都市技师学院</w:t>
      </w:r>
      <w:r>
        <w:rPr>
          <w:rFonts w:hint="eastAsia"/>
          <w:b/>
          <w:bCs/>
          <w:color w:val="auto"/>
          <w:sz w:val="28"/>
          <w:szCs w:val="28"/>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rPr>
        <w:t>采购代理机构：四川乾新招投标代理有限公司</w:t>
      </w:r>
    </w:p>
    <w:p>
      <w:pPr>
        <w:pStyle w:val="39"/>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lang w:val="en-US" w:eastAsia="zh-CN"/>
        </w:rPr>
        <w:t>文  件 编 制：由采购人和</w:t>
      </w:r>
      <w:r>
        <w:rPr>
          <w:rFonts w:hint="eastAsia"/>
          <w:b/>
          <w:bCs/>
          <w:color w:val="auto"/>
          <w:sz w:val="28"/>
          <w:szCs w:val="28"/>
          <w:highlight w:val="none"/>
        </w:rPr>
        <w:t>采购代理机构</w:t>
      </w:r>
      <w:r>
        <w:rPr>
          <w:rFonts w:hint="eastAsia"/>
          <w:b/>
          <w:bCs/>
          <w:color w:val="auto"/>
          <w:sz w:val="28"/>
          <w:szCs w:val="28"/>
          <w:highlight w:val="none"/>
          <w:lang w:val="en-US" w:eastAsia="zh-CN"/>
        </w:rPr>
        <w:t>共同编制</w:t>
      </w:r>
    </w:p>
    <w:p>
      <w:pPr>
        <w:pStyle w:val="3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bCs/>
          <w:color w:val="auto"/>
          <w:sz w:val="28"/>
          <w:szCs w:val="28"/>
          <w:highlight w:val="none"/>
          <w:lang w:eastAsia="zh-CN"/>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b/>
          <w:bCs/>
          <w:color w:val="auto"/>
          <w:sz w:val="28"/>
          <w:szCs w:val="28"/>
          <w:highlight w:val="none"/>
          <w:lang w:val="en-US" w:eastAsia="zh-CN"/>
        </w:rPr>
        <w:t>2021年5月</w:t>
      </w:r>
    </w:p>
    <w:p>
      <w:pPr>
        <w:pStyle w:val="3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40"/>
          <w:szCs w:val="40"/>
          <w:highlight w:val="none"/>
        </w:rPr>
      </w:pPr>
      <w:bookmarkStart w:id="3" w:name="_Toc452473646"/>
      <w:bookmarkStart w:id="4" w:name="_Toc502651262"/>
      <w:bookmarkStart w:id="5" w:name="_Toc373139265"/>
      <w:bookmarkStart w:id="6" w:name="_Toc371958974"/>
      <w:bookmarkStart w:id="7" w:name="_Toc372620750"/>
      <w:bookmarkStart w:id="8" w:name="_Toc336690878"/>
      <w:r>
        <w:rPr>
          <w:rFonts w:hint="eastAsia"/>
          <w:b/>
          <w:bCs/>
          <w:color w:val="auto"/>
          <w:sz w:val="40"/>
          <w:szCs w:val="40"/>
          <w:highlight w:val="none"/>
          <w:lang w:val="en-US" w:eastAsia="zh-CN"/>
        </w:rPr>
        <w:t>政府采购</w:t>
      </w:r>
      <w:r>
        <w:rPr>
          <w:rFonts w:hint="eastAsia"/>
          <w:b/>
          <w:bCs/>
          <w:color w:val="auto"/>
          <w:sz w:val="40"/>
          <w:szCs w:val="40"/>
          <w:highlight w:val="none"/>
        </w:rPr>
        <w:t>阳光宣言</w:t>
      </w:r>
      <w:bookmarkEnd w:id="3"/>
      <w:bookmarkEnd w:id="4"/>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lang w:val="en-US" w:eastAsia="zh-CN"/>
        </w:rPr>
        <w:t>四川乾新</w:t>
      </w:r>
      <w:r>
        <w:rPr>
          <w:rFonts w:hint="eastAsia"/>
          <w:color w:val="auto"/>
          <w:highlight w:val="none"/>
        </w:rPr>
        <w:t>践行</w:t>
      </w:r>
      <w:r>
        <w:rPr>
          <w:rFonts w:hint="eastAsia"/>
          <w:color w:val="auto"/>
          <w:highlight w:val="none"/>
          <w:lang w:val="en-US" w:eastAsia="zh-CN"/>
        </w:rPr>
        <w:t>公平竞争、</w:t>
      </w:r>
      <w:r>
        <w:rPr>
          <w:rFonts w:hint="eastAsia"/>
          <w:color w:val="auto"/>
          <w:highlight w:val="none"/>
        </w:rPr>
        <w:t>诚信</w:t>
      </w:r>
      <w:r>
        <w:rPr>
          <w:rFonts w:hint="eastAsia"/>
          <w:color w:val="auto"/>
          <w:highlight w:val="none"/>
          <w:lang w:val="en-US" w:eastAsia="zh-CN"/>
        </w:rPr>
        <w:t>的</w:t>
      </w:r>
      <w:r>
        <w:rPr>
          <w:rFonts w:hint="eastAsia"/>
          <w:color w:val="auto"/>
          <w:highlight w:val="none"/>
        </w:rPr>
        <w:t>核心价值观，诚信于股东、诚信于</w:t>
      </w:r>
      <w:r>
        <w:rPr>
          <w:rFonts w:hint="eastAsia"/>
          <w:color w:val="auto"/>
          <w:highlight w:val="none"/>
          <w:lang w:val="en-US" w:eastAsia="zh-CN"/>
        </w:rPr>
        <w:t>服务对象</w:t>
      </w:r>
      <w:r>
        <w:rPr>
          <w:rFonts w:hint="eastAsia"/>
          <w:color w:val="auto"/>
          <w:highlight w:val="none"/>
        </w:rPr>
        <w:t>、诚信于员工、诚信于社会。</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lang w:val="en-US" w:eastAsia="zh-CN"/>
        </w:rPr>
        <w:t>四川乾新全体</w:t>
      </w:r>
      <w:r>
        <w:rPr>
          <w:rFonts w:hint="eastAsia"/>
          <w:color w:val="auto"/>
          <w:highlight w:val="none"/>
        </w:rPr>
        <w:t>员工严格遵守《</w:t>
      </w:r>
      <w:r>
        <w:rPr>
          <w:rFonts w:hint="eastAsia"/>
          <w:color w:val="auto"/>
          <w:highlight w:val="none"/>
          <w:lang w:val="en-US" w:eastAsia="zh-CN"/>
        </w:rPr>
        <w:t>乾新</w:t>
      </w:r>
      <w:r>
        <w:rPr>
          <w:rFonts w:hint="eastAsia"/>
          <w:color w:val="auto"/>
          <w:highlight w:val="none"/>
        </w:rPr>
        <w:t>十戒》和《员工廉洁从业规定》，遵纪守法，强化自律，廉洁从业，规范经营。</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lang w:val="en-US" w:eastAsia="zh-CN"/>
        </w:rPr>
        <w:t>坚决维护国家利益和社会公共利益，</w:t>
      </w:r>
      <w:r>
        <w:rPr>
          <w:rFonts w:hint="eastAsia"/>
          <w:color w:val="auto"/>
          <w:highlight w:val="none"/>
        </w:rPr>
        <w:t>严守商业道德，悉心维护</w:t>
      </w:r>
      <w:r>
        <w:rPr>
          <w:rFonts w:hint="eastAsia"/>
          <w:color w:val="auto"/>
          <w:highlight w:val="none"/>
          <w:lang w:val="en-US" w:eastAsia="zh-CN"/>
        </w:rPr>
        <w:t>采购人</w:t>
      </w:r>
      <w:r>
        <w:rPr>
          <w:rFonts w:hint="eastAsia"/>
          <w:color w:val="auto"/>
          <w:highlight w:val="none"/>
        </w:rPr>
        <w:t>和</w:t>
      </w:r>
      <w:r>
        <w:rPr>
          <w:rFonts w:hint="eastAsia"/>
          <w:color w:val="auto"/>
          <w:highlight w:val="none"/>
          <w:lang w:val="en-US" w:eastAsia="zh-CN"/>
        </w:rPr>
        <w:t>供应商</w:t>
      </w:r>
      <w:r>
        <w:rPr>
          <w:rFonts w:hint="eastAsia"/>
          <w:color w:val="auto"/>
          <w:highlight w:val="none"/>
        </w:rPr>
        <w:t>权益，开展公平竞争，努力提供优质、</w:t>
      </w:r>
      <w:r>
        <w:rPr>
          <w:rFonts w:hint="eastAsia"/>
          <w:color w:val="auto"/>
          <w:highlight w:val="none"/>
          <w:lang w:val="en-US" w:eastAsia="zh-CN"/>
        </w:rPr>
        <w:t>细心</w:t>
      </w:r>
      <w:r>
        <w:rPr>
          <w:rFonts w:hint="eastAsia"/>
          <w:color w:val="auto"/>
          <w:highlight w:val="none"/>
        </w:rPr>
        <w:t>、</w:t>
      </w:r>
      <w:r>
        <w:rPr>
          <w:rFonts w:hint="eastAsia"/>
          <w:color w:val="auto"/>
          <w:highlight w:val="none"/>
          <w:lang w:val="en-US" w:eastAsia="zh-CN"/>
        </w:rPr>
        <w:t>专业的</w:t>
      </w:r>
      <w:r>
        <w:rPr>
          <w:rFonts w:hint="eastAsia"/>
          <w:color w:val="auto"/>
          <w:highlight w:val="none"/>
        </w:rPr>
        <w:t>服务，为</w:t>
      </w:r>
      <w:r>
        <w:rPr>
          <w:rFonts w:hint="eastAsia"/>
          <w:color w:val="auto"/>
          <w:highlight w:val="none"/>
          <w:lang w:val="en-US" w:eastAsia="zh-CN"/>
        </w:rPr>
        <w:t>采购人</w:t>
      </w:r>
      <w:r>
        <w:rPr>
          <w:rFonts w:hint="eastAsia"/>
          <w:color w:val="auto"/>
          <w:highlight w:val="none"/>
        </w:rPr>
        <w:t>创造价值，与</w:t>
      </w:r>
      <w:r>
        <w:rPr>
          <w:rFonts w:hint="eastAsia"/>
          <w:color w:val="auto"/>
          <w:highlight w:val="none"/>
          <w:lang w:val="en-US" w:eastAsia="zh-CN"/>
        </w:rPr>
        <w:t>采购人</w:t>
      </w:r>
      <w:r>
        <w:rPr>
          <w:rFonts w:hint="eastAsia"/>
          <w:color w:val="auto"/>
          <w:highlight w:val="none"/>
        </w:rPr>
        <w:t>共同成长。坚持不懈反对“四风”，厉行节约，反对浪费，求真务实，克己奉公，精益求精，追求卓越，以出色的</w:t>
      </w:r>
      <w:r>
        <w:rPr>
          <w:rFonts w:hint="eastAsia"/>
          <w:color w:val="auto"/>
          <w:highlight w:val="none"/>
          <w:lang w:val="en-US" w:eastAsia="zh-CN"/>
        </w:rPr>
        <w:t>效益</w:t>
      </w:r>
      <w:r>
        <w:rPr>
          <w:rFonts w:hint="eastAsia"/>
          <w:color w:val="auto"/>
          <w:highlight w:val="none"/>
        </w:rPr>
        <w:t>回报股东，回报社会。</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lang w:val="en-US" w:eastAsia="zh-CN"/>
        </w:rPr>
        <w:t>四川乾新</w:t>
      </w:r>
      <w:r>
        <w:rPr>
          <w:rFonts w:hint="eastAsia"/>
          <w:color w:val="auto"/>
          <w:highlight w:val="none"/>
        </w:rPr>
        <w:t>与</w:t>
      </w:r>
      <w:r>
        <w:rPr>
          <w:rFonts w:hint="eastAsia"/>
          <w:color w:val="auto"/>
          <w:highlight w:val="none"/>
          <w:lang w:val="en-US" w:eastAsia="zh-CN"/>
        </w:rPr>
        <w:t>服务对象</w:t>
      </w:r>
      <w:r>
        <w:rPr>
          <w:rFonts w:hint="eastAsia"/>
          <w:color w:val="auto"/>
          <w:highlight w:val="none"/>
        </w:rPr>
        <w:t>之间是简单的</w:t>
      </w:r>
      <w:r>
        <w:rPr>
          <w:rFonts w:hint="eastAsia"/>
          <w:color w:val="auto"/>
          <w:highlight w:val="none"/>
          <w:lang w:val="en-US" w:eastAsia="zh-CN"/>
        </w:rPr>
        <w:t>政企、企事业、</w:t>
      </w:r>
      <w:r>
        <w:rPr>
          <w:rFonts w:hint="eastAsia"/>
          <w:color w:val="auto"/>
          <w:highlight w:val="none"/>
        </w:rPr>
        <w:t>企业</w:t>
      </w:r>
      <w:r>
        <w:rPr>
          <w:rFonts w:hint="eastAsia"/>
          <w:color w:val="auto"/>
          <w:highlight w:val="none"/>
          <w:lang w:val="en-US" w:eastAsia="zh-CN"/>
        </w:rPr>
        <w:t>与企业</w:t>
      </w:r>
      <w:r>
        <w:rPr>
          <w:rFonts w:hint="eastAsia"/>
          <w:color w:val="auto"/>
          <w:highlight w:val="none"/>
        </w:rPr>
        <w:t>之间的</w:t>
      </w:r>
      <w:r>
        <w:rPr>
          <w:rFonts w:hint="eastAsia"/>
          <w:color w:val="auto"/>
          <w:highlight w:val="none"/>
          <w:lang w:val="en-US" w:eastAsia="zh-CN"/>
        </w:rPr>
        <w:t>关系</w:t>
      </w:r>
      <w:r>
        <w:rPr>
          <w:rFonts w:hint="eastAsia"/>
          <w:color w:val="auto"/>
          <w:highlight w:val="none"/>
        </w:rPr>
        <w:t>，不存在个人利益动机。</w:t>
      </w:r>
      <w:r>
        <w:rPr>
          <w:rFonts w:hint="eastAsia"/>
          <w:color w:val="auto"/>
          <w:highlight w:val="none"/>
          <w:lang w:val="en-US" w:eastAsia="zh-CN"/>
        </w:rPr>
        <w:t>四川乾新</w:t>
      </w:r>
      <w:r>
        <w:rPr>
          <w:rFonts w:hint="eastAsia"/>
          <w:color w:val="auto"/>
          <w:highlight w:val="none"/>
        </w:rPr>
        <w:t>员工追逐阳光下的公司利润和个人价值，以廉为荣、以贪为耻，忠于职责，恪守《员工廉洁从业规定》。倡导遵守以下行为准则：</w:t>
      </w:r>
    </w:p>
    <w:p>
      <w:pPr>
        <w:pStyle w:val="40"/>
        <w:bidi w:val="0"/>
        <w:rPr>
          <w:rFonts w:hint="eastAsia"/>
          <w:color w:val="auto"/>
          <w:highlight w:val="none"/>
          <w:lang w:eastAsia="zh-CN"/>
        </w:rPr>
      </w:pPr>
      <w:r>
        <w:rPr>
          <w:rFonts w:hint="eastAsia"/>
          <w:color w:val="auto"/>
          <w:highlight w:val="none"/>
          <w:lang w:val="en-US" w:eastAsia="zh-CN"/>
        </w:rPr>
        <w:t>四川乾新</w:t>
      </w:r>
      <w:r>
        <w:rPr>
          <w:rFonts w:hint="eastAsia"/>
          <w:color w:val="auto"/>
          <w:highlight w:val="none"/>
        </w:rPr>
        <w:t>不以向</w:t>
      </w:r>
      <w:r>
        <w:rPr>
          <w:rFonts w:hint="eastAsia"/>
          <w:color w:val="auto"/>
          <w:highlight w:val="none"/>
          <w:lang w:val="en-US" w:eastAsia="zh-CN"/>
        </w:rPr>
        <w:t>采购人</w:t>
      </w:r>
      <w:r>
        <w:rPr>
          <w:rFonts w:hint="eastAsia"/>
          <w:color w:val="auto"/>
          <w:highlight w:val="none"/>
        </w:rPr>
        <w:t>及其亲属提供任何个人利益的方式谋求合作关系；</w:t>
      </w:r>
    </w:p>
    <w:p>
      <w:pPr>
        <w:pStyle w:val="40"/>
        <w:bidi w:val="0"/>
        <w:rPr>
          <w:rFonts w:hint="eastAsia"/>
          <w:color w:val="auto"/>
          <w:highlight w:val="none"/>
        </w:rPr>
      </w:pPr>
      <w:r>
        <w:rPr>
          <w:rFonts w:hint="eastAsia"/>
          <w:color w:val="auto"/>
          <w:highlight w:val="none"/>
          <w:lang w:val="en-US" w:eastAsia="zh-CN"/>
        </w:rPr>
        <w:t>四川乾新</w:t>
      </w:r>
      <w:r>
        <w:rPr>
          <w:rFonts w:hint="eastAsia"/>
          <w:color w:val="auto"/>
          <w:highlight w:val="none"/>
        </w:rPr>
        <w:t xml:space="preserve">不迷信任何实际存在的或虚构的所谓关系； </w:t>
      </w:r>
    </w:p>
    <w:p>
      <w:pPr>
        <w:pStyle w:val="40"/>
        <w:bidi w:val="0"/>
        <w:rPr>
          <w:rFonts w:hint="eastAsia"/>
          <w:color w:val="auto"/>
          <w:highlight w:val="none"/>
          <w:lang w:eastAsia="zh-CN"/>
        </w:rPr>
      </w:pPr>
      <w:r>
        <w:rPr>
          <w:rFonts w:hint="eastAsia"/>
          <w:color w:val="auto"/>
          <w:highlight w:val="none"/>
          <w:lang w:val="en-US" w:eastAsia="zh-CN"/>
        </w:rPr>
        <w:t>四川乾新</w:t>
      </w:r>
      <w:r>
        <w:rPr>
          <w:rFonts w:hint="eastAsia"/>
          <w:color w:val="auto"/>
          <w:highlight w:val="none"/>
        </w:rPr>
        <w:t>不采取恶性竞争等不正当手段竞争业务</w:t>
      </w:r>
      <w:r>
        <w:rPr>
          <w:rFonts w:hint="eastAsia"/>
          <w:color w:val="auto"/>
          <w:highlight w:val="none"/>
          <w:lang w:eastAsia="zh-CN"/>
        </w:rPr>
        <w:t>；</w:t>
      </w:r>
    </w:p>
    <w:p>
      <w:pPr>
        <w:pStyle w:val="40"/>
        <w:bidi w:val="0"/>
        <w:rPr>
          <w:color w:val="auto"/>
          <w:highlight w:val="none"/>
        </w:rPr>
      </w:pPr>
      <w:r>
        <w:rPr>
          <w:rFonts w:hint="eastAsia"/>
          <w:color w:val="auto"/>
          <w:highlight w:val="none"/>
          <w:lang w:val="en-US" w:eastAsia="zh-CN"/>
        </w:rPr>
        <w:t>四川乾新</w:t>
      </w:r>
      <w:r>
        <w:rPr>
          <w:rFonts w:hint="eastAsia"/>
          <w:color w:val="auto"/>
          <w:highlight w:val="none"/>
        </w:rPr>
        <w:t>不向</w:t>
      </w:r>
      <w:r>
        <w:rPr>
          <w:rFonts w:hint="eastAsia"/>
          <w:color w:val="auto"/>
          <w:highlight w:val="none"/>
          <w:lang w:val="en-US" w:eastAsia="zh-CN"/>
        </w:rPr>
        <w:t>采购人</w:t>
      </w:r>
      <w:r>
        <w:rPr>
          <w:rFonts w:hint="eastAsia"/>
          <w:color w:val="auto"/>
          <w:highlight w:val="none"/>
        </w:rPr>
        <w:t>提供好处费、回扣、现金及有价证券、支付凭证、贵重礼物；</w:t>
      </w:r>
    </w:p>
    <w:p>
      <w:pPr>
        <w:pStyle w:val="40"/>
        <w:bidi w:val="0"/>
        <w:rPr>
          <w:rFonts w:hint="eastAsia"/>
          <w:color w:val="auto"/>
          <w:highlight w:val="none"/>
        </w:rPr>
      </w:pPr>
      <w:r>
        <w:rPr>
          <w:rFonts w:hint="eastAsia"/>
          <w:color w:val="auto"/>
          <w:highlight w:val="none"/>
          <w:lang w:val="en-US" w:eastAsia="zh-CN"/>
        </w:rPr>
        <w:t>四川乾新</w:t>
      </w:r>
      <w:r>
        <w:rPr>
          <w:rFonts w:hint="eastAsia"/>
          <w:color w:val="auto"/>
          <w:highlight w:val="none"/>
        </w:rPr>
        <w:t>不给</w:t>
      </w:r>
      <w:r>
        <w:rPr>
          <w:rFonts w:hint="eastAsia"/>
          <w:color w:val="auto"/>
          <w:highlight w:val="none"/>
          <w:lang w:val="en-US" w:eastAsia="zh-CN"/>
        </w:rPr>
        <w:t>采购人</w:t>
      </w:r>
      <w:r>
        <w:rPr>
          <w:rFonts w:hint="eastAsia"/>
          <w:color w:val="auto"/>
          <w:highlight w:val="none"/>
        </w:rPr>
        <w:t>及其亲属报销任何费用；不向</w:t>
      </w:r>
      <w:r>
        <w:rPr>
          <w:rFonts w:hint="eastAsia"/>
          <w:color w:val="auto"/>
          <w:highlight w:val="none"/>
          <w:lang w:val="en-US" w:eastAsia="zh-CN"/>
        </w:rPr>
        <w:t>采购人</w:t>
      </w:r>
      <w:r>
        <w:rPr>
          <w:rFonts w:hint="eastAsia"/>
          <w:color w:val="auto"/>
          <w:highlight w:val="none"/>
        </w:rPr>
        <w:t>及其亲属提供住房、交通工具、通讯工具、家电、高档办公用品等物品；不向</w:t>
      </w:r>
      <w:r>
        <w:rPr>
          <w:rFonts w:hint="eastAsia"/>
          <w:color w:val="auto"/>
          <w:highlight w:val="none"/>
          <w:lang w:val="en-US" w:eastAsia="zh-CN"/>
        </w:rPr>
        <w:t>采购人</w:t>
      </w:r>
      <w:r>
        <w:rPr>
          <w:rFonts w:hint="eastAsia"/>
          <w:color w:val="auto"/>
          <w:highlight w:val="none"/>
        </w:rPr>
        <w:t>及其亲属的家庭装修、婚丧嫁娶、工作安排、出国、留学等提供资金及物资的资助；</w:t>
      </w:r>
    </w:p>
    <w:p>
      <w:pPr>
        <w:pStyle w:val="40"/>
        <w:bidi w:val="0"/>
        <w:rPr>
          <w:rFonts w:hint="eastAsia"/>
          <w:color w:val="auto"/>
          <w:highlight w:val="none"/>
          <w:lang w:val="en-US" w:eastAsia="zh-CN"/>
        </w:rPr>
      </w:pPr>
      <w:r>
        <w:rPr>
          <w:rFonts w:hint="eastAsia"/>
          <w:color w:val="auto"/>
          <w:highlight w:val="none"/>
          <w:lang w:val="en-US" w:eastAsia="zh-CN"/>
        </w:rPr>
        <w:t>供应商在参与项目时公平竞争，充分发挥市场主体作用，降低采购成本，节约采购资金；</w:t>
      </w:r>
    </w:p>
    <w:p>
      <w:pPr>
        <w:pStyle w:val="40"/>
        <w:bidi w:val="0"/>
        <w:rPr>
          <w:color w:val="auto"/>
          <w:highlight w:val="none"/>
        </w:rPr>
      </w:pPr>
      <w:r>
        <w:rPr>
          <w:rFonts w:hint="eastAsia"/>
          <w:color w:val="auto"/>
          <w:highlight w:val="none"/>
          <w:lang w:val="en-US" w:eastAsia="zh-CN"/>
        </w:rPr>
        <w:t>四川乾新</w:t>
      </w:r>
      <w:r>
        <w:rPr>
          <w:rFonts w:hint="eastAsia"/>
          <w:color w:val="auto"/>
          <w:highlight w:val="none"/>
        </w:rPr>
        <w:t>不与</w:t>
      </w:r>
      <w:r>
        <w:rPr>
          <w:rFonts w:hint="eastAsia"/>
          <w:color w:val="auto"/>
          <w:highlight w:val="none"/>
          <w:lang w:val="en-US" w:eastAsia="zh-CN"/>
        </w:rPr>
        <w:t>采购人、供应商</w:t>
      </w:r>
      <w:r>
        <w:rPr>
          <w:rFonts w:hint="eastAsia"/>
          <w:color w:val="auto"/>
          <w:highlight w:val="none"/>
        </w:rPr>
        <w:t>串通投标；</w:t>
      </w:r>
    </w:p>
    <w:p>
      <w:pPr>
        <w:pStyle w:val="40"/>
        <w:bidi w:val="0"/>
        <w:rPr>
          <w:color w:val="auto"/>
          <w:highlight w:val="none"/>
        </w:rPr>
      </w:pPr>
      <w:r>
        <w:rPr>
          <w:rFonts w:hint="eastAsia"/>
          <w:color w:val="auto"/>
          <w:highlight w:val="none"/>
          <w:lang w:val="en-US" w:eastAsia="zh-CN"/>
        </w:rPr>
        <w:t>四川乾新、采购人</w:t>
      </w:r>
      <w:r>
        <w:rPr>
          <w:rFonts w:hint="eastAsia"/>
          <w:color w:val="auto"/>
          <w:highlight w:val="none"/>
        </w:rPr>
        <w:t>不与</w:t>
      </w:r>
      <w:r>
        <w:rPr>
          <w:rFonts w:hint="eastAsia"/>
          <w:color w:val="auto"/>
          <w:highlight w:val="none"/>
          <w:lang w:val="en-US" w:eastAsia="zh-CN"/>
        </w:rPr>
        <w:t>供应商</w:t>
      </w:r>
      <w:r>
        <w:rPr>
          <w:rFonts w:hint="eastAsia"/>
          <w:color w:val="auto"/>
          <w:highlight w:val="none"/>
        </w:rPr>
        <w:t>就标底、其他单位的投标书等商业秘密及合同中的质量、价格、验收等条款进行私下商谈或者达成默契；</w:t>
      </w:r>
    </w:p>
    <w:p>
      <w:pPr>
        <w:pStyle w:val="40"/>
        <w:bidi w:val="0"/>
        <w:rPr>
          <w:color w:val="auto"/>
          <w:highlight w:val="none"/>
        </w:rPr>
      </w:pPr>
      <w:r>
        <w:rPr>
          <w:rFonts w:hint="eastAsia"/>
          <w:color w:val="auto"/>
          <w:highlight w:val="none"/>
          <w:lang w:val="en-US" w:eastAsia="zh-CN"/>
        </w:rPr>
        <w:t>四川乾新坚决杜绝以下行为：①乾新员工</w:t>
      </w:r>
      <w:r>
        <w:rPr>
          <w:rFonts w:hint="eastAsia"/>
          <w:color w:val="auto"/>
          <w:highlight w:val="none"/>
        </w:rPr>
        <w:t>有行贿倾向、建议</w:t>
      </w:r>
      <w:r>
        <w:rPr>
          <w:rFonts w:hint="eastAsia"/>
          <w:color w:val="auto"/>
          <w:highlight w:val="none"/>
          <w:lang w:val="en-US" w:eastAsia="zh-CN"/>
        </w:rPr>
        <w:t>等行为</w:t>
      </w:r>
      <w:r>
        <w:rPr>
          <w:rFonts w:hint="eastAsia"/>
          <w:color w:val="auto"/>
          <w:highlight w:val="none"/>
          <w:lang w:eastAsia="zh-CN"/>
        </w:rPr>
        <w:t>；</w:t>
      </w:r>
      <w:r>
        <w:rPr>
          <w:rFonts w:hint="eastAsia"/>
          <w:color w:val="auto"/>
          <w:highlight w:val="none"/>
          <w:lang w:val="en-US" w:eastAsia="zh-CN"/>
        </w:rPr>
        <w:t>②乾新</w:t>
      </w:r>
      <w:r>
        <w:rPr>
          <w:rFonts w:hint="eastAsia"/>
          <w:color w:val="auto"/>
          <w:highlight w:val="none"/>
        </w:rPr>
        <w:t>员工有索贿、受贿</w:t>
      </w:r>
      <w:r>
        <w:rPr>
          <w:rFonts w:hint="eastAsia"/>
          <w:color w:val="auto"/>
          <w:highlight w:val="none"/>
          <w:lang w:val="en-US" w:eastAsia="zh-CN"/>
        </w:rPr>
        <w:t>等行为</w:t>
      </w:r>
      <w:r>
        <w:rPr>
          <w:rFonts w:hint="eastAsia"/>
          <w:color w:val="auto"/>
          <w:highlight w:val="none"/>
        </w:rPr>
        <w:t>。</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rPr>
        <w:t>如出现违反宣言的行为，</w:t>
      </w:r>
      <w:r>
        <w:rPr>
          <w:rFonts w:hint="eastAsia"/>
          <w:color w:val="auto"/>
          <w:highlight w:val="none"/>
          <w:lang w:val="en-US" w:eastAsia="zh-CN"/>
        </w:rPr>
        <w:t>请及时向四川乾新</w:t>
      </w:r>
      <w:r>
        <w:rPr>
          <w:rFonts w:hint="eastAsia"/>
          <w:color w:val="auto"/>
          <w:highlight w:val="none"/>
        </w:rPr>
        <w:t>监察部投诉</w:t>
      </w:r>
      <w:r>
        <w:rPr>
          <w:rFonts w:hint="eastAsia"/>
          <w:color w:val="auto"/>
          <w:highlight w:val="none"/>
          <w:lang w:val="en-US" w:eastAsia="zh-CN"/>
        </w:rPr>
        <w:t>或</w:t>
      </w:r>
      <w:r>
        <w:rPr>
          <w:rFonts w:hint="eastAsia"/>
          <w:color w:val="auto"/>
          <w:highlight w:val="none"/>
        </w:rPr>
        <w:t>举报</w:t>
      </w:r>
      <w:r>
        <w:rPr>
          <w:rFonts w:hint="eastAsia"/>
          <w:color w:val="auto"/>
          <w:highlight w:val="none"/>
          <w:lang w:eastAsia="zh-CN"/>
        </w:rPr>
        <w:t>，</w:t>
      </w:r>
      <w:r>
        <w:rPr>
          <w:rFonts w:hint="eastAsia"/>
          <w:color w:val="auto"/>
          <w:highlight w:val="none"/>
        </w:rPr>
        <w:t>经核查属实的，</w:t>
      </w:r>
      <w:r>
        <w:rPr>
          <w:rFonts w:hint="eastAsia"/>
          <w:color w:val="auto"/>
          <w:highlight w:val="none"/>
          <w:lang w:val="en-US" w:eastAsia="zh-CN"/>
        </w:rPr>
        <w:t>严格按照公司规定处理，涉及违法违纪的将追究相关法律责任</w:t>
      </w:r>
      <w:r>
        <w:rPr>
          <w:rFonts w:hint="eastAsia"/>
          <w:color w:val="auto"/>
          <w:highlight w:val="none"/>
        </w:rPr>
        <w:t>。</w:t>
      </w:r>
      <w:r>
        <w:rPr>
          <w:rFonts w:hint="eastAsia"/>
          <w:color w:val="auto"/>
          <w:highlight w:val="none"/>
          <w:lang w:val="en-US" w:eastAsia="zh-CN"/>
        </w:rPr>
        <w:t>请各采购人及供应商积极</w:t>
      </w:r>
      <w:r>
        <w:rPr>
          <w:rFonts w:hint="eastAsia"/>
          <w:color w:val="auto"/>
          <w:highlight w:val="none"/>
        </w:rPr>
        <w:t>宣传本宣言，了解并自觉践行宣言，共同营造</w:t>
      </w:r>
      <w:r>
        <w:rPr>
          <w:rFonts w:hint="eastAsia"/>
          <w:color w:val="auto"/>
          <w:highlight w:val="none"/>
          <w:lang w:val="en-US" w:eastAsia="zh-CN"/>
        </w:rPr>
        <w:t>公开</w:t>
      </w:r>
      <w:r>
        <w:rPr>
          <w:rFonts w:hint="eastAsia"/>
          <w:color w:val="auto"/>
          <w:highlight w:val="none"/>
          <w:lang w:eastAsia="zh-CN"/>
        </w:rPr>
        <w:t>、</w:t>
      </w:r>
      <w:r>
        <w:rPr>
          <w:rFonts w:hint="eastAsia"/>
          <w:color w:val="auto"/>
          <w:highlight w:val="none"/>
          <w:lang w:val="en-US" w:eastAsia="zh-CN"/>
        </w:rPr>
        <w:t>公平、公正、诚实信用、讲求绩效</w:t>
      </w:r>
      <w:r>
        <w:rPr>
          <w:rFonts w:hint="eastAsia"/>
          <w:color w:val="auto"/>
          <w:highlight w:val="none"/>
        </w:rPr>
        <w:t>的</w:t>
      </w:r>
      <w:r>
        <w:rPr>
          <w:rFonts w:hint="eastAsia"/>
          <w:color w:val="auto"/>
          <w:highlight w:val="none"/>
          <w:lang w:val="en-US" w:eastAsia="zh-CN"/>
        </w:rPr>
        <w:t>政采营商环境</w:t>
      </w:r>
      <w:r>
        <w:rPr>
          <w:rFonts w:hint="eastAsia"/>
          <w:color w:val="auto"/>
          <w:highlight w:val="none"/>
          <w:lang w:eastAsia="zh-CN"/>
        </w:rPr>
        <w:t>，</w:t>
      </w:r>
      <w:r>
        <w:rPr>
          <w:rFonts w:hint="eastAsia"/>
          <w:color w:val="auto"/>
          <w:highlight w:val="none"/>
          <w:lang w:val="en-US" w:eastAsia="zh-CN"/>
        </w:rPr>
        <w:t>共同推动政府采购行业健康发展</w:t>
      </w:r>
      <w:r>
        <w:rPr>
          <w:rFonts w:hint="eastAsia"/>
          <w:color w:val="auto"/>
          <w:highlight w:val="none"/>
        </w:rPr>
        <w:t>。</w:t>
      </w:r>
      <w:r>
        <w:rPr>
          <w:rFonts w:hint="eastAsia"/>
          <w:color w:val="auto"/>
          <w:highlight w:val="none"/>
          <w:lang w:val="en-US" w:eastAsia="zh-CN"/>
        </w:rPr>
        <w:t xml:space="preserve"> </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rPr>
        <w:t>监察部投诉及举报邮箱：</w:t>
      </w:r>
      <w:r>
        <w:rPr>
          <w:rFonts w:hint="eastAsia"/>
          <w:color w:val="auto"/>
          <w:highlight w:val="none"/>
          <w:lang w:val="en-US" w:eastAsia="zh-CN"/>
        </w:rPr>
        <w:t>scqxzb_shl@163.com</w:t>
      </w:r>
    </w:p>
    <w:p>
      <w:pPr>
        <w:pStyle w:val="3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sectPr>
          <w:headerReference r:id="rId11" w:type="first"/>
          <w:footerReference r:id="rId13" w:type="first"/>
          <w:headerReference r:id="rId10" w:type="default"/>
          <w:footerReference r:id="rId12"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olor w:val="auto"/>
          <w:highlight w:val="none"/>
          <w:lang w:val="en-US" w:eastAsia="zh-CN"/>
        </w:rPr>
        <w:t>监察部投诉及举报电话：028-62630990</w:t>
      </w:r>
      <w:bookmarkEnd w:id="5"/>
      <w:bookmarkEnd w:id="6"/>
      <w:bookmarkEnd w:id="7"/>
      <w:bookmarkEnd w:id="8"/>
    </w:p>
    <w:p>
      <w:pPr>
        <w:pStyle w:val="39"/>
        <w:bidi w:val="0"/>
        <w:jc w:val="center"/>
        <w:rPr>
          <w:rFonts w:hint="eastAsia"/>
          <w:color w:val="auto"/>
          <w:highlight w:val="none"/>
        </w:rPr>
      </w:pPr>
      <w:r>
        <w:rPr>
          <w:rFonts w:hint="eastAsia"/>
          <w:color w:val="auto"/>
          <w:highlight w:val="none"/>
        </w:rPr>
        <w:t>目  录</w:t>
      </w:r>
      <w:bookmarkEnd w:id="0"/>
      <w:bookmarkEnd w:id="1"/>
    </w:p>
    <w:p>
      <w:pPr>
        <w:pStyle w:val="15"/>
        <w:tabs>
          <w:tab w:val="clear" w:pos="0"/>
        </w:tabs>
        <w:rPr>
          <w:color w:val="auto"/>
          <w:highlight w:val="none"/>
        </w:rPr>
      </w:pPr>
      <w:bookmarkStart w:id="9" w:name="_Toc26242"/>
      <w:bookmarkStart w:id="10" w:name="_Toc15794"/>
      <w:bookmarkStart w:id="11" w:name="_Toc28748"/>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_Toc11328 </w:instrText>
      </w:r>
      <w:r>
        <w:rPr>
          <w:color w:val="auto"/>
          <w:highlight w:val="none"/>
        </w:rPr>
        <w:fldChar w:fldCharType="separate"/>
      </w:r>
      <w:r>
        <w:rPr>
          <w:rFonts w:hint="eastAsia" w:ascii="宋体" w:hAnsi="宋体" w:eastAsia="宋体" w:cs="宋体"/>
          <w:color w:val="auto"/>
          <w:highlight w:val="none"/>
        </w:rPr>
        <w:t xml:space="preserve">第一章 </w:t>
      </w:r>
      <w:r>
        <w:rPr>
          <w:rFonts w:hint="eastAsia"/>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_Toc11328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_Toc4859 </w:instrText>
      </w:r>
      <w:r>
        <w:rPr>
          <w:color w:val="auto"/>
          <w:highlight w:val="none"/>
        </w:rPr>
        <w:fldChar w:fldCharType="separate"/>
      </w:r>
      <w:r>
        <w:rPr>
          <w:rFonts w:hint="eastAsia" w:ascii="宋体" w:hAnsi="宋体" w:eastAsia="宋体" w:cs="宋体"/>
          <w:color w:val="auto"/>
          <w:highlight w:val="none"/>
          <w:lang w:val="en-US" w:eastAsia="zh-CN"/>
        </w:rPr>
        <w:t xml:space="preserve">第二章 </w:t>
      </w:r>
      <w:r>
        <w:rPr>
          <w:rFonts w:hint="eastAsia"/>
          <w:color w:val="auto"/>
          <w:highlight w:val="none"/>
          <w:lang w:val="en-US" w:eastAsia="zh-CN"/>
        </w:rPr>
        <w:t>投标人须知</w:t>
      </w:r>
      <w:r>
        <w:rPr>
          <w:color w:val="auto"/>
          <w:highlight w:val="none"/>
        </w:rPr>
        <w:tab/>
      </w:r>
      <w:r>
        <w:rPr>
          <w:color w:val="auto"/>
          <w:highlight w:val="none"/>
        </w:rPr>
        <w:fldChar w:fldCharType="begin"/>
      </w:r>
      <w:r>
        <w:rPr>
          <w:color w:val="auto"/>
          <w:highlight w:val="none"/>
        </w:rPr>
        <w:instrText xml:space="preserve"> PAGEREF _Toc4859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_Toc13062 </w:instrText>
      </w:r>
      <w:r>
        <w:rPr>
          <w:color w:val="auto"/>
          <w:highlight w:val="none"/>
        </w:rPr>
        <w:fldChar w:fldCharType="separate"/>
      </w:r>
      <w:r>
        <w:rPr>
          <w:rFonts w:hint="eastAsia"/>
          <w:color w:val="auto"/>
          <w:highlight w:val="none"/>
        </w:rPr>
        <w:t>一、 投标人须知</w:t>
      </w:r>
      <w:r>
        <w:rPr>
          <w:rFonts w:hint="eastAsia"/>
          <w:color w:val="auto"/>
          <w:highlight w:val="none"/>
          <w:lang w:val="en-US" w:eastAsia="zh-CN"/>
        </w:rPr>
        <w:t>前</w:t>
      </w:r>
      <w:r>
        <w:rPr>
          <w:rFonts w:hint="eastAsia"/>
          <w:color w:val="auto"/>
          <w:highlight w:val="none"/>
        </w:rPr>
        <w:t>附表</w:t>
      </w:r>
      <w:r>
        <w:rPr>
          <w:color w:val="auto"/>
          <w:highlight w:val="none"/>
        </w:rPr>
        <w:tab/>
      </w:r>
      <w:r>
        <w:rPr>
          <w:color w:val="auto"/>
          <w:highlight w:val="none"/>
        </w:rPr>
        <w:fldChar w:fldCharType="begin"/>
      </w:r>
      <w:r>
        <w:rPr>
          <w:color w:val="auto"/>
          <w:highlight w:val="none"/>
        </w:rPr>
        <w:instrText xml:space="preserve"> PAGEREF _Toc13062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_Toc28645 </w:instrText>
      </w:r>
      <w:r>
        <w:rPr>
          <w:color w:val="auto"/>
          <w:highlight w:val="none"/>
        </w:rPr>
        <w:fldChar w:fldCharType="separate"/>
      </w:r>
      <w:r>
        <w:rPr>
          <w:rFonts w:hint="eastAsia"/>
          <w:color w:val="auto"/>
          <w:highlight w:val="none"/>
        </w:rPr>
        <w:t>二、 总 则</w:t>
      </w:r>
      <w:r>
        <w:rPr>
          <w:color w:val="auto"/>
          <w:highlight w:val="none"/>
        </w:rPr>
        <w:tab/>
      </w:r>
      <w:r>
        <w:rPr>
          <w:color w:val="auto"/>
          <w:highlight w:val="none"/>
        </w:rPr>
        <w:fldChar w:fldCharType="begin"/>
      </w:r>
      <w:r>
        <w:rPr>
          <w:color w:val="auto"/>
          <w:highlight w:val="none"/>
        </w:rPr>
        <w:instrText xml:space="preserve"> PAGEREF _Toc28645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_Toc21815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_Toc21815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_Toc14496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有关定义</w:t>
      </w:r>
      <w:r>
        <w:rPr>
          <w:color w:val="auto"/>
          <w:highlight w:val="none"/>
        </w:rPr>
        <w:tab/>
      </w:r>
      <w:r>
        <w:rPr>
          <w:color w:val="auto"/>
          <w:highlight w:val="none"/>
        </w:rPr>
        <w:fldChar w:fldCharType="begin"/>
      </w:r>
      <w:r>
        <w:rPr>
          <w:color w:val="auto"/>
          <w:highlight w:val="none"/>
        </w:rPr>
        <w:instrText xml:space="preserve"> PAGEREF _Toc14496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_Toc24245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合格的投标人</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_Toc24245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_Toc7221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rPr>
        <w:t>投标费用</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_Toc7221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_Toc12906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充分、公平竞争保障措施</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_Toc12906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_Toc10720 </w:instrText>
      </w:r>
      <w:r>
        <w:rPr>
          <w:color w:val="auto"/>
          <w:highlight w:val="none"/>
        </w:rPr>
        <w:fldChar w:fldCharType="separate"/>
      </w:r>
      <w:r>
        <w:rPr>
          <w:rFonts w:hint="eastAsia"/>
          <w:color w:val="auto"/>
          <w:highlight w:val="none"/>
        </w:rPr>
        <w:t>三、 招标文件</w:t>
      </w:r>
      <w:r>
        <w:rPr>
          <w:color w:val="auto"/>
          <w:highlight w:val="none"/>
        </w:rPr>
        <w:tab/>
      </w:r>
      <w:r>
        <w:rPr>
          <w:color w:val="auto"/>
          <w:highlight w:val="none"/>
        </w:rPr>
        <w:fldChar w:fldCharType="begin"/>
      </w:r>
      <w:r>
        <w:rPr>
          <w:color w:val="auto"/>
          <w:highlight w:val="none"/>
        </w:rPr>
        <w:instrText xml:space="preserve"> PAGEREF _Toc10720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_Toc25264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招标文件的构成</w:t>
      </w:r>
      <w:r>
        <w:rPr>
          <w:color w:val="auto"/>
          <w:highlight w:val="none"/>
        </w:rPr>
        <w:tab/>
      </w:r>
      <w:r>
        <w:rPr>
          <w:color w:val="auto"/>
          <w:highlight w:val="none"/>
        </w:rPr>
        <w:fldChar w:fldCharType="begin"/>
      </w:r>
      <w:r>
        <w:rPr>
          <w:color w:val="auto"/>
          <w:highlight w:val="none"/>
        </w:rPr>
        <w:instrText xml:space="preserve"> PAGEREF _Toc25264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_Toc12889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招标文件的澄清和修改</w:t>
      </w:r>
      <w:r>
        <w:rPr>
          <w:color w:val="auto"/>
          <w:highlight w:val="none"/>
        </w:rPr>
        <w:tab/>
      </w:r>
      <w:r>
        <w:rPr>
          <w:color w:val="auto"/>
          <w:highlight w:val="none"/>
        </w:rPr>
        <w:fldChar w:fldCharType="begin"/>
      </w:r>
      <w:r>
        <w:rPr>
          <w:color w:val="auto"/>
          <w:highlight w:val="none"/>
        </w:rPr>
        <w:instrText xml:space="preserve"> PAGEREF _Toc12889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_Toc3587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答疑会和现场考察</w:t>
      </w:r>
      <w:r>
        <w:rPr>
          <w:color w:val="auto"/>
          <w:highlight w:val="none"/>
        </w:rPr>
        <w:tab/>
      </w:r>
      <w:r>
        <w:rPr>
          <w:color w:val="auto"/>
          <w:highlight w:val="none"/>
        </w:rPr>
        <w:fldChar w:fldCharType="begin"/>
      </w:r>
      <w:r>
        <w:rPr>
          <w:color w:val="auto"/>
          <w:highlight w:val="none"/>
        </w:rPr>
        <w:instrText xml:space="preserve"> PAGEREF _Toc3587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_Toc12361 </w:instrText>
      </w:r>
      <w:r>
        <w:rPr>
          <w:color w:val="auto"/>
          <w:highlight w:val="none"/>
        </w:rPr>
        <w:fldChar w:fldCharType="separate"/>
      </w:r>
      <w:r>
        <w:rPr>
          <w:rFonts w:hint="eastAsia"/>
          <w:color w:val="auto"/>
          <w:highlight w:val="none"/>
        </w:rPr>
        <w:t>四、 投标文件</w:t>
      </w:r>
      <w:r>
        <w:rPr>
          <w:color w:val="auto"/>
          <w:highlight w:val="none"/>
        </w:rPr>
        <w:tab/>
      </w:r>
      <w:r>
        <w:rPr>
          <w:color w:val="auto"/>
          <w:highlight w:val="none"/>
        </w:rPr>
        <w:fldChar w:fldCharType="begin"/>
      </w:r>
      <w:r>
        <w:rPr>
          <w:color w:val="auto"/>
          <w:highlight w:val="none"/>
        </w:rPr>
        <w:instrText xml:space="preserve"> PAGEREF _Toc12361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_Toc10775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投标文件的语言</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_Toc10775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_Toc22909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计量单位</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_Toc22909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_Toc30923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投标货币</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_Toc30923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_Toc18068 </w:instrText>
      </w:r>
      <w:r>
        <w:rPr>
          <w:color w:val="auto"/>
          <w:highlight w:val="none"/>
        </w:rPr>
        <w:fldChar w:fldCharType="separate"/>
      </w:r>
      <w:r>
        <w:rPr>
          <w:rFonts w:hint="eastAsia" w:ascii="宋体" w:hAnsi="宋体" w:eastAsia="宋体" w:cs="宋体"/>
          <w:color w:val="auto"/>
          <w:highlight w:val="none"/>
          <w:lang w:eastAsia="zh-CN"/>
        </w:rPr>
        <w:t xml:space="preserve">(四) </w:t>
      </w:r>
      <w:r>
        <w:rPr>
          <w:rFonts w:hint="eastAsia"/>
          <w:color w:val="auto"/>
          <w:highlight w:val="none"/>
        </w:rPr>
        <w:t>联合体投标</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_Toc18068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_Toc32146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知识产权</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_Toc32146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_Toc19770 </w:instrText>
      </w:r>
      <w:r>
        <w:rPr>
          <w:color w:val="auto"/>
          <w:highlight w:val="none"/>
        </w:rPr>
        <w:fldChar w:fldCharType="separate"/>
      </w:r>
      <w:r>
        <w:rPr>
          <w:rFonts w:hint="eastAsia" w:ascii="宋体" w:hAnsi="宋体" w:eastAsia="宋体" w:cs="宋体"/>
          <w:color w:val="auto"/>
          <w:highlight w:val="none"/>
        </w:rPr>
        <w:t xml:space="preserve">(六) </w:t>
      </w:r>
      <w:r>
        <w:rPr>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_Toc19770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_Toc16202 </w:instrText>
      </w:r>
      <w:r>
        <w:rPr>
          <w:color w:val="auto"/>
          <w:highlight w:val="none"/>
        </w:rPr>
        <w:fldChar w:fldCharType="separate"/>
      </w:r>
      <w:r>
        <w:rPr>
          <w:rFonts w:hint="eastAsia" w:ascii="宋体" w:hAnsi="宋体" w:eastAsia="宋体" w:cs="宋体"/>
          <w:color w:val="auto"/>
          <w:highlight w:val="none"/>
        </w:rPr>
        <w:t xml:space="preserve">(七)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_Toc16202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_Toc18740 </w:instrText>
      </w:r>
      <w:r>
        <w:rPr>
          <w:color w:val="auto"/>
          <w:highlight w:val="none"/>
        </w:rPr>
        <w:fldChar w:fldCharType="separate"/>
      </w:r>
      <w:r>
        <w:rPr>
          <w:rFonts w:hint="eastAsia" w:ascii="宋体" w:hAnsi="宋体" w:eastAsia="宋体" w:cs="宋体"/>
          <w:color w:val="auto"/>
          <w:highlight w:val="none"/>
        </w:rPr>
        <w:t xml:space="preserve">(八) </w:t>
      </w:r>
      <w:r>
        <w:rPr>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_Toc18740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_Toc16789 </w:instrText>
      </w:r>
      <w:r>
        <w:rPr>
          <w:color w:val="auto"/>
          <w:highlight w:val="none"/>
        </w:rPr>
        <w:fldChar w:fldCharType="separate"/>
      </w:r>
      <w:r>
        <w:rPr>
          <w:rFonts w:hint="eastAsia" w:ascii="宋体" w:hAnsi="宋体" w:eastAsia="宋体" w:cs="宋体"/>
          <w:color w:val="auto"/>
          <w:highlight w:val="none"/>
        </w:rPr>
        <w:t xml:space="preserve">(九) </w:t>
      </w:r>
      <w:r>
        <w:rPr>
          <w:rFonts w:hint="eastAsia"/>
          <w:color w:val="auto"/>
          <w:highlight w:val="none"/>
        </w:rPr>
        <w:t>投标有效期</w:t>
      </w:r>
      <w:r>
        <w:rPr>
          <w:rFonts w:hint="eastAsia"/>
          <w:color w:val="auto"/>
          <w:highlight w:val="none"/>
          <w:lang w:eastAsia="zh-CN"/>
        </w:rPr>
        <w:t>(</w:t>
      </w:r>
      <w:r>
        <w:rPr>
          <w:rFonts w:hint="eastAsia"/>
          <w:color w:val="auto"/>
          <w:highlight w:val="none"/>
        </w:rPr>
        <w:t>实质性要求</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_Toc16789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_Toc12997 </w:instrText>
      </w:r>
      <w:r>
        <w:rPr>
          <w:color w:val="auto"/>
          <w:highlight w:val="none"/>
        </w:rPr>
        <w:fldChar w:fldCharType="separate"/>
      </w:r>
      <w:r>
        <w:rPr>
          <w:rFonts w:hint="eastAsia" w:ascii="宋体" w:hAnsi="宋体" w:eastAsia="宋体" w:cs="宋体"/>
          <w:color w:val="auto"/>
          <w:highlight w:val="none"/>
        </w:rPr>
        <w:t xml:space="preserve">(十) </w:t>
      </w:r>
      <w:r>
        <w:rPr>
          <w:rFonts w:hint="eastAsia"/>
          <w:color w:val="auto"/>
          <w:highlight w:val="none"/>
        </w:rPr>
        <w:t>投标文件的印制和签署</w:t>
      </w:r>
      <w:r>
        <w:rPr>
          <w:color w:val="auto"/>
          <w:highlight w:val="none"/>
        </w:rPr>
        <w:tab/>
      </w:r>
      <w:r>
        <w:rPr>
          <w:color w:val="auto"/>
          <w:highlight w:val="none"/>
        </w:rPr>
        <w:fldChar w:fldCharType="begin"/>
      </w:r>
      <w:r>
        <w:rPr>
          <w:color w:val="auto"/>
          <w:highlight w:val="none"/>
        </w:rPr>
        <w:instrText xml:space="preserve"> PAGEREF _Toc12997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_Toc14896 </w:instrText>
      </w:r>
      <w:r>
        <w:rPr>
          <w:color w:val="auto"/>
          <w:highlight w:val="none"/>
        </w:rPr>
        <w:fldChar w:fldCharType="separate"/>
      </w:r>
      <w:r>
        <w:rPr>
          <w:rFonts w:hint="eastAsia" w:ascii="宋体" w:hAnsi="宋体" w:eastAsia="宋体" w:cs="宋体"/>
          <w:color w:val="auto"/>
          <w:highlight w:val="none"/>
        </w:rPr>
        <w:t xml:space="preserve">(十一) </w:t>
      </w:r>
      <w:r>
        <w:rPr>
          <w:rFonts w:hint="eastAsia"/>
          <w:color w:val="auto"/>
          <w:highlight w:val="none"/>
        </w:rPr>
        <w:t>投标文件的密封和标注</w:t>
      </w:r>
      <w:r>
        <w:rPr>
          <w:color w:val="auto"/>
          <w:highlight w:val="none"/>
        </w:rPr>
        <w:tab/>
      </w:r>
      <w:r>
        <w:rPr>
          <w:color w:val="auto"/>
          <w:highlight w:val="none"/>
        </w:rPr>
        <w:fldChar w:fldCharType="begin"/>
      </w:r>
      <w:r>
        <w:rPr>
          <w:color w:val="auto"/>
          <w:highlight w:val="none"/>
        </w:rPr>
        <w:instrText xml:space="preserve"> PAGEREF _Toc14896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_Toc5423 </w:instrText>
      </w:r>
      <w:r>
        <w:rPr>
          <w:color w:val="auto"/>
          <w:highlight w:val="none"/>
        </w:rPr>
        <w:fldChar w:fldCharType="separate"/>
      </w:r>
      <w:r>
        <w:rPr>
          <w:rFonts w:hint="eastAsia" w:ascii="宋体" w:hAnsi="宋体" w:eastAsia="宋体" w:cs="宋体"/>
          <w:color w:val="auto"/>
          <w:highlight w:val="none"/>
        </w:rPr>
        <w:t xml:space="preserve">(十二) </w:t>
      </w:r>
      <w:r>
        <w:rPr>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_Toc5423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_Toc27106 </w:instrText>
      </w:r>
      <w:r>
        <w:rPr>
          <w:color w:val="auto"/>
          <w:highlight w:val="none"/>
        </w:rPr>
        <w:fldChar w:fldCharType="separate"/>
      </w:r>
      <w:r>
        <w:rPr>
          <w:rFonts w:hint="eastAsia" w:ascii="宋体" w:hAnsi="宋体" w:eastAsia="宋体" w:cs="宋体"/>
          <w:color w:val="auto"/>
          <w:highlight w:val="none"/>
        </w:rPr>
        <w:t xml:space="preserve">(十三) </w:t>
      </w:r>
      <w:r>
        <w:rPr>
          <w:rFonts w:hint="eastAsia"/>
          <w:color w:val="auto"/>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_Toc27106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_Toc20070 </w:instrText>
      </w:r>
      <w:r>
        <w:rPr>
          <w:color w:val="auto"/>
          <w:highlight w:val="none"/>
        </w:rPr>
        <w:fldChar w:fldCharType="separate"/>
      </w:r>
      <w:r>
        <w:rPr>
          <w:rFonts w:hint="eastAsia"/>
          <w:color w:val="auto"/>
          <w:highlight w:val="none"/>
        </w:rPr>
        <w:t>五、 开标和中标</w:t>
      </w:r>
      <w:r>
        <w:rPr>
          <w:color w:val="auto"/>
          <w:highlight w:val="none"/>
        </w:rPr>
        <w:tab/>
      </w:r>
      <w:r>
        <w:rPr>
          <w:color w:val="auto"/>
          <w:highlight w:val="none"/>
        </w:rPr>
        <w:fldChar w:fldCharType="begin"/>
      </w:r>
      <w:r>
        <w:rPr>
          <w:color w:val="auto"/>
          <w:highlight w:val="none"/>
        </w:rPr>
        <w:instrText xml:space="preserve"> PAGEREF _Toc20070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_Toc32243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_Toc32243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_Toc2349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_Toc2349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_Toc17999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开评标过程存档</w:t>
      </w:r>
      <w:r>
        <w:rPr>
          <w:color w:val="auto"/>
          <w:highlight w:val="none"/>
        </w:rPr>
        <w:tab/>
      </w:r>
      <w:r>
        <w:rPr>
          <w:color w:val="auto"/>
          <w:highlight w:val="none"/>
        </w:rPr>
        <w:fldChar w:fldCharType="begin"/>
      </w:r>
      <w:r>
        <w:rPr>
          <w:color w:val="auto"/>
          <w:highlight w:val="none"/>
        </w:rPr>
        <w:instrText xml:space="preserve"> PAGEREF _Toc17999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_Toc11564 </w:instrText>
      </w:r>
      <w:r>
        <w:rPr>
          <w:color w:val="auto"/>
          <w:highlight w:val="none"/>
        </w:rPr>
        <w:fldChar w:fldCharType="separate"/>
      </w:r>
      <w:r>
        <w:rPr>
          <w:rFonts w:hint="eastAsia" w:ascii="宋体" w:hAnsi="宋体" w:eastAsia="宋体" w:cs="宋体"/>
          <w:color w:val="auto"/>
          <w:highlight w:val="none"/>
          <w:lang w:val="en-US" w:eastAsia="zh-CN"/>
        </w:rPr>
        <w:t xml:space="preserve">(四) </w:t>
      </w:r>
      <w:r>
        <w:rPr>
          <w:rFonts w:hint="eastAsia"/>
          <w:color w:val="auto"/>
          <w:highlight w:val="none"/>
          <w:lang w:val="en-US" w:eastAsia="zh-CN"/>
        </w:rPr>
        <w:t>中标结果</w:t>
      </w:r>
      <w:r>
        <w:rPr>
          <w:color w:val="auto"/>
          <w:highlight w:val="none"/>
        </w:rPr>
        <w:tab/>
      </w:r>
      <w:r>
        <w:rPr>
          <w:color w:val="auto"/>
          <w:highlight w:val="none"/>
        </w:rPr>
        <w:fldChar w:fldCharType="begin"/>
      </w:r>
      <w:r>
        <w:rPr>
          <w:color w:val="auto"/>
          <w:highlight w:val="none"/>
        </w:rPr>
        <w:instrText xml:space="preserve"> PAGEREF _Toc11564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_Toc11706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中标通知书</w:t>
      </w:r>
      <w:r>
        <w:rPr>
          <w:color w:val="auto"/>
          <w:highlight w:val="none"/>
        </w:rPr>
        <w:tab/>
      </w:r>
      <w:r>
        <w:rPr>
          <w:color w:val="auto"/>
          <w:highlight w:val="none"/>
        </w:rPr>
        <w:fldChar w:fldCharType="begin"/>
      </w:r>
      <w:r>
        <w:rPr>
          <w:color w:val="auto"/>
          <w:highlight w:val="none"/>
        </w:rPr>
        <w:instrText xml:space="preserve"> PAGEREF _Toc11706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_Toc7374 </w:instrText>
      </w:r>
      <w:r>
        <w:rPr>
          <w:color w:val="auto"/>
          <w:highlight w:val="none"/>
        </w:rPr>
        <w:fldChar w:fldCharType="separate"/>
      </w:r>
      <w:r>
        <w:rPr>
          <w:rFonts w:hint="eastAsia"/>
          <w:color w:val="auto"/>
          <w:highlight w:val="none"/>
        </w:rPr>
        <w:t>六、 签订及履行合同和验收</w:t>
      </w:r>
      <w:r>
        <w:rPr>
          <w:color w:val="auto"/>
          <w:highlight w:val="none"/>
        </w:rPr>
        <w:tab/>
      </w:r>
      <w:r>
        <w:rPr>
          <w:color w:val="auto"/>
          <w:highlight w:val="none"/>
        </w:rPr>
        <w:fldChar w:fldCharType="begin"/>
      </w:r>
      <w:r>
        <w:rPr>
          <w:color w:val="auto"/>
          <w:highlight w:val="none"/>
        </w:rPr>
        <w:instrText xml:space="preserve"> PAGEREF _Toc7374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_Toc3273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_Toc3273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_Toc5856 </w:instrText>
      </w:r>
      <w:r>
        <w:rPr>
          <w:color w:val="auto"/>
          <w:highlight w:val="none"/>
        </w:rPr>
        <w:fldChar w:fldCharType="separate"/>
      </w:r>
      <w:r>
        <w:rPr>
          <w:rFonts w:hint="eastAsia" w:ascii="宋体" w:hAnsi="宋体" w:eastAsia="宋体" w:cs="宋体"/>
          <w:color w:val="auto"/>
          <w:highlight w:val="none"/>
          <w:lang w:val="en-US"/>
        </w:rPr>
        <w:t xml:space="preserve">(二) </w:t>
      </w:r>
      <w:r>
        <w:rPr>
          <w:rFonts w:hint="eastAsia"/>
          <w:color w:val="auto"/>
          <w:highlight w:val="none"/>
        </w:rPr>
        <w:t>合同分包</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_Toc5856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_Toc30074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合同转包</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_Toc30074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_Toc577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rPr>
        <w:t>补充合同</w:t>
      </w:r>
      <w:r>
        <w:rPr>
          <w:color w:val="auto"/>
          <w:highlight w:val="none"/>
        </w:rPr>
        <w:tab/>
      </w:r>
      <w:r>
        <w:rPr>
          <w:color w:val="auto"/>
          <w:highlight w:val="none"/>
        </w:rPr>
        <w:fldChar w:fldCharType="begin"/>
      </w:r>
      <w:r>
        <w:rPr>
          <w:color w:val="auto"/>
          <w:highlight w:val="none"/>
        </w:rPr>
        <w:instrText xml:space="preserve"> PAGEREF _Toc577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_Toc17561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合同公告</w:t>
      </w:r>
      <w:r>
        <w:rPr>
          <w:rFonts w:hint="eastAsia"/>
          <w:color w:val="auto"/>
          <w:highlight w:val="none"/>
          <w:lang w:val="en-US" w:eastAsia="zh-CN"/>
        </w:rPr>
        <w:t>备案</w:t>
      </w:r>
      <w:r>
        <w:rPr>
          <w:color w:val="auto"/>
          <w:highlight w:val="none"/>
        </w:rPr>
        <w:tab/>
      </w:r>
      <w:r>
        <w:rPr>
          <w:color w:val="auto"/>
          <w:highlight w:val="none"/>
        </w:rPr>
        <w:fldChar w:fldCharType="begin"/>
      </w:r>
      <w:r>
        <w:rPr>
          <w:color w:val="auto"/>
          <w:highlight w:val="none"/>
        </w:rPr>
        <w:instrText xml:space="preserve"> PAGEREF _Toc17561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_Toc23607 </w:instrText>
      </w:r>
      <w:r>
        <w:rPr>
          <w:color w:val="auto"/>
          <w:highlight w:val="none"/>
        </w:rPr>
        <w:fldChar w:fldCharType="separate"/>
      </w:r>
      <w:r>
        <w:rPr>
          <w:rFonts w:hint="eastAsia" w:ascii="宋体" w:hAnsi="宋体" w:eastAsia="宋体" w:cs="宋体"/>
          <w:color w:val="auto"/>
          <w:highlight w:val="none"/>
        </w:rPr>
        <w:t xml:space="preserve">(六) </w:t>
      </w:r>
      <w:r>
        <w:rPr>
          <w:rFonts w:hint="eastAsia"/>
          <w:color w:val="auto"/>
          <w:highlight w:val="none"/>
        </w:rPr>
        <w:t>履约保证金</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_Toc23607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_Toc28510 </w:instrText>
      </w:r>
      <w:r>
        <w:rPr>
          <w:color w:val="auto"/>
          <w:highlight w:val="none"/>
        </w:rPr>
        <w:fldChar w:fldCharType="separate"/>
      </w:r>
      <w:r>
        <w:rPr>
          <w:rFonts w:hint="eastAsia" w:ascii="宋体" w:hAnsi="宋体" w:eastAsia="宋体" w:cs="宋体"/>
          <w:color w:val="auto"/>
          <w:highlight w:val="none"/>
        </w:rPr>
        <w:t xml:space="preserve">(七) </w:t>
      </w:r>
      <w:r>
        <w:rPr>
          <w:rFonts w:hint="eastAsia"/>
          <w:color w:val="auto"/>
          <w:highlight w:val="none"/>
        </w:rPr>
        <w:t>履行合同</w:t>
      </w:r>
      <w:r>
        <w:rPr>
          <w:color w:val="auto"/>
          <w:highlight w:val="none"/>
        </w:rPr>
        <w:tab/>
      </w:r>
      <w:r>
        <w:rPr>
          <w:color w:val="auto"/>
          <w:highlight w:val="none"/>
        </w:rPr>
        <w:fldChar w:fldCharType="begin"/>
      </w:r>
      <w:r>
        <w:rPr>
          <w:color w:val="auto"/>
          <w:highlight w:val="none"/>
        </w:rPr>
        <w:instrText xml:space="preserve"> PAGEREF _Toc28510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_Toc1555 </w:instrText>
      </w:r>
      <w:r>
        <w:rPr>
          <w:color w:val="auto"/>
          <w:highlight w:val="none"/>
        </w:rPr>
        <w:fldChar w:fldCharType="separate"/>
      </w:r>
      <w:r>
        <w:rPr>
          <w:rFonts w:hint="eastAsia" w:ascii="宋体" w:hAnsi="宋体" w:eastAsia="宋体" w:cs="宋体"/>
          <w:color w:val="auto"/>
          <w:highlight w:val="none"/>
        </w:rPr>
        <w:t xml:space="preserve">(八) </w:t>
      </w:r>
      <w:r>
        <w:rPr>
          <w:rFonts w:hint="eastAsia"/>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_Toc1555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_Toc30438 </w:instrText>
      </w:r>
      <w:r>
        <w:rPr>
          <w:color w:val="auto"/>
          <w:highlight w:val="none"/>
        </w:rPr>
        <w:fldChar w:fldCharType="separate"/>
      </w:r>
      <w:r>
        <w:rPr>
          <w:rFonts w:hint="eastAsia" w:ascii="宋体" w:hAnsi="宋体" w:eastAsia="宋体" w:cs="宋体"/>
          <w:color w:val="auto"/>
          <w:highlight w:val="none"/>
        </w:rPr>
        <w:t xml:space="preserve">(九) </w:t>
      </w:r>
      <w:r>
        <w:rPr>
          <w:rFonts w:hint="eastAsia"/>
          <w:color w:val="auto"/>
          <w:highlight w:val="none"/>
        </w:rPr>
        <w:t>资金支付</w:t>
      </w:r>
      <w:r>
        <w:rPr>
          <w:rFonts w:hint="eastAsia"/>
          <w:color w:val="auto"/>
          <w:highlight w:val="none"/>
          <w:lang w:val="en-US" w:eastAsia="zh-CN"/>
        </w:rPr>
        <w:t>方式、时间、条件</w:t>
      </w:r>
      <w:r>
        <w:rPr>
          <w:color w:val="auto"/>
          <w:highlight w:val="none"/>
        </w:rPr>
        <w:tab/>
      </w:r>
      <w:r>
        <w:rPr>
          <w:color w:val="auto"/>
          <w:highlight w:val="none"/>
        </w:rPr>
        <w:fldChar w:fldCharType="begin"/>
      </w:r>
      <w:r>
        <w:rPr>
          <w:color w:val="auto"/>
          <w:highlight w:val="none"/>
        </w:rPr>
        <w:instrText xml:space="preserve"> PAGEREF _Toc30438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_Toc21835 </w:instrText>
      </w:r>
      <w:r>
        <w:rPr>
          <w:color w:val="auto"/>
          <w:highlight w:val="none"/>
        </w:rPr>
        <w:fldChar w:fldCharType="separate"/>
      </w:r>
      <w:r>
        <w:rPr>
          <w:rFonts w:hint="eastAsia"/>
          <w:color w:val="auto"/>
          <w:highlight w:val="none"/>
        </w:rPr>
        <w:t>七、 投标纪律要求</w:t>
      </w:r>
      <w:r>
        <w:rPr>
          <w:color w:val="auto"/>
          <w:highlight w:val="none"/>
        </w:rPr>
        <w:tab/>
      </w:r>
      <w:r>
        <w:rPr>
          <w:color w:val="auto"/>
          <w:highlight w:val="none"/>
        </w:rPr>
        <w:fldChar w:fldCharType="begin"/>
      </w:r>
      <w:r>
        <w:rPr>
          <w:color w:val="auto"/>
          <w:highlight w:val="none"/>
        </w:rPr>
        <w:instrText xml:space="preserve"> PAGEREF _Toc21835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_Toc30829 </w:instrText>
      </w:r>
      <w:r>
        <w:rPr>
          <w:color w:val="auto"/>
          <w:highlight w:val="none"/>
        </w:rPr>
        <w:fldChar w:fldCharType="separate"/>
      </w:r>
      <w:r>
        <w:rPr>
          <w:rFonts w:hint="eastAsia"/>
          <w:color w:val="auto"/>
          <w:highlight w:val="none"/>
        </w:rPr>
        <w:t xml:space="preserve">八、 </w:t>
      </w:r>
      <w:r>
        <w:rPr>
          <w:rFonts w:hint="eastAsia"/>
          <w:color w:val="auto"/>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_Toc30829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_Toc8516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询问</w:t>
      </w:r>
      <w:r>
        <w:rPr>
          <w:rFonts w:hint="eastAsia"/>
          <w:color w:val="auto"/>
          <w:highlight w:val="none"/>
          <w:lang w:eastAsia="zh-CN"/>
        </w:rPr>
        <w:t>、</w:t>
      </w:r>
      <w:r>
        <w:rPr>
          <w:rFonts w:hint="eastAsia"/>
          <w:color w:val="auto"/>
          <w:highlight w:val="none"/>
          <w:lang w:val="en-US" w:eastAsia="zh-CN"/>
        </w:rPr>
        <w:t>质疑和投诉</w:t>
      </w:r>
      <w:r>
        <w:rPr>
          <w:color w:val="auto"/>
          <w:highlight w:val="none"/>
        </w:rPr>
        <w:tab/>
      </w:r>
      <w:r>
        <w:rPr>
          <w:color w:val="auto"/>
          <w:highlight w:val="none"/>
        </w:rPr>
        <w:fldChar w:fldCharType="begin"/>
      </w:r>
      <w:r>
        <w:rPr>
          <w:color w:val="auto"/>
          <w:highlight w:val="none"/>
        </w:rPr>
        <w:instrText xml:space="preserve"> PAGEREF _Toc8516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_Toc18555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关于行贿犯罪档案查询工作的规定</w:t>
      </w:r>
      <w:r>
        <w:rPr>
          <w:color w:val="auto"/>
          <w:highlight w:val="none"/>
        </w:rPr>
        <w:tab/>
      </w:r>
      <w:r>
        <w:rPr>
          <w:color w:val="auto"/>
          <w:highlight w:val="none"/>
        </w:rPr>
        <w:fldChar w:fldCharType="begin"/>
      </w:r>
      <w:r>
        <w:rPr>
          <w:color w:val="auto"/>
          <w:highlight w:val="none"/>
        </w:rPr>
        <w:instrText xml:space="preserve"> PAGEREF _Toc18555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_Toc9292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串通投标的情形</w:t>
      </w:r>
      <w:r>
        <w:rPr>
          <w:color w:val="auto"/>
          <w:highlight w:val="none"/>
        </w:rPr>
        <w:tab/>
      </w:r>
      <w:r>
        <w:rPr>
          <w:color w:val="auto"/>
          <w:highlight w:val="none"/>
        </w:rPr>
        <w:fldChar w:fldCharType="begin"/>
      </w:r>
      <w:r>
        <w:rPr>
          <w:color w:val="auto"/>
          <w:highlight w:val="none"/>
        </w:rPr>
        <w:instrText xml:space="preserve"> PAGEREF _Toc9292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_Toc14439 </w:instrText>
      </w:r>
      <w:r>
        <w:rPr>
          <w:color w:val="auto"/>
          <w:highlight w:val="none"/>
        </w:rPr>
        <w:fldChar w:fldCharType="separate"/>
      </w:r>
      <w:r>
        <w:rPr>
          <w:rFonts w:hint="eastAsia" w:ascii="宋体" w:hAnsi="宋体" w:eastAsia="宋体" w:cs="宋体"/>
          <w:color w:val="auto"/>
          <w:highlight w:val="none"/>
          <w:lang w:val="en-US" w:eastAsia="zh-CN"/>
        </w:rPr>
        <w:t xml:space="preserve">(四) </w:t>
      </w:r>
      <w:r>
        <w:rPr>
          <w:rFonts w:hint="eastAsia"/>
          <w:color w:val="auto"/>
          <w:highlight w:val="none"/>
          <w:lang w:val="en-US" w:eastAsia="zh-CN"/>
        </w:rPr>
        <w:t>投标人信用信息查询</w:t>
      </w:r>
      <w:r>
        <w:rPr>
          <w:color w:val="auto"/>
          <w:highlight w:val="none"/>
        </w:rPr>
        <w:tab/>
      </w:r>
      <w:r>
        <w:rPr>
          <w:color w:val="auto"/>
          <w:highlight w:val="none"/>
        </w:rPr>
        <w:fldChar w:fldCharType="begin"/>
      </w:r>
      <w:r>
        <w:rPr>
          <w:color w:val="auto"/>
          <w:highlight w:val="none"/>
        </w:rPr>
        <w:instrText xml:space="preserve"> PAGEREF _Toc14439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_Toc29088 </w:instrText>
      </w:r>
      <w:r>
        <w:rPr>
          <w:color w:val="auto"/>
          <w:highlight w:val="none"/>
        </w:rPr>
        <w:fldChar w:fldCharType="separate"/>
      </w:r>
      <w:r>
        <w:rPr>
          <w:rFonts w:hint="eastAsia" w:ascii="宋体" w:hAnsi="宋体" w:eastAsia="宋体" w:cs="宋体"/>
          <w:color w:val="auto"/>
          <w:highlight w:val="none"/>
          <w:lang w:val="en-US" w:eastAsia="zh-CN"/>
        </w:rPr>
        <w:t xml:space="preserve">(五) </w:t>
      </w:r>
      <w:r>
        <w:rPr>
          <w:rFonts w:hint="eastAsia"/>
          <w:color w:val="auto"/>
          <w:highlight w:val="none"/>
          <w:lang w:val="en-US" w:eastAsia="zh-CN"/>
        </w:rPr>
        <w:t>解释说明</w:t>
      </w:r>
      <w:r>
        <w:rPr>
          <w:color w:val="auto"/>
          <w:highlight w:val="none"/>
        </w:rPr>
        <w:tab/>
      </w:r>
      <w:r>
        <w:rPr>
          <w:color w:val="auto"/>
          <w:highlight w:val="none"/>
        </w:rPr>
        <w:fldChar w:fldCharType="begin"/>
      </w:r>
      <w:r>
        <w:rPr>
          <w:color w:val="auto"/>
          <w:highlight w:val="none"/>
        </w:rPr>
        <w:instrText xml:space="preserve"> PAGEREF _Toc29088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_Toc24779 </w:instrText>
      </w:r>
      <w:r>
        <w:rPr>
          <w:color w:val="auto"/>
          <w:highlight w:val="none"/>
        </w:rPr>
        <w:fldChar w:fldCharType="separate"/>
      </w:r>
      <w:r>
        <w:rPr>
          <w:rFonts w:hint="eastAsia" w:ascii="宋体" w:hAnsi="宋体" w:eastAsia="宋体" w:cs="宋体"/>
          <w:color w:val="auto"/>
          <w:highlight w:val="none"/>
        </w:rPr>
        <w:t xml:space="preserve">第三章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_Toc24779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_Toc4211 </w:instrText>
      </w:r>
      <w:r>
        <w:rPr>
          <w:color w:val="auto"/>
          <w:highlight w:val="none"/>
        </w:rPr>
        <w:fldChar w:fldCharType="separate"/>
      </w:r>
      <w:r>
        <w:rPr>
          <w:rFonts w:hint="eastAsia"/>
          <w:color w:val="auto"/>
          <w:szCs w:val="32"/>
          <w:highlight w:val="none"/>
          <w:lang w:val="en-US" w:eastAsia="zh-CN"/>
        </w:rPr>
        <w:t>第一部</w:t>
      </w:r>
      <w:r>
        <w:rPr>
          <w:rFonts w:hint="eastAsia"/>
          <w:color w:val="auto"/>
          <w:szCs w:val="32"/>
          <w:highlight w:val="none"/>
        </w:rPr>
        <w:t>分 资格、资质性及其他类似效力</w:t>
      </w:r>
      <w:r>
        <w:rPr>
          <w:rFonts w:hint="eastAsia"/>
          <w:color w:val="auto"/>
          <w:szCs w:val="32"/>
          <w:highlight w:val="none"/>
          <w:lang w:val="en-US" w:eastAsia="zh-CN"/>
        </w:rPr>
        <w:t>投标</w:t>
      </w:r>
      <w:r>
        <w:rPr>
          <w:rFonts w:hint="eastAsia"/>
          <w:color w:val="auto"/>
          <w:szCs w:val="32"/>
          <w:highlight w:val="none"/>
        </w:rPr>
        <w:t>文件(格式)</w:t>
      </w:r>
      <w:r>
        <w:rPr>
          <w:color w:val="auto"/>
          <w:highlight w:val="none"/>
        </w:rPr>
        <w:tab/>
      </w:r>
      <w:r>
        <w:rPr>
          <w:color w:val="auto"/>
          <w:highlight w:val="none"/>
        </w:rPr>
        <w:fldChar w:fldCharType="begin"/>
      </w:r>
      <w:r>
        <w:rPr>
          <w:color w:val="auto"/>
          <w:highlight w:val="none"/>
        </w:rPr>
        <w:instrText xml:space="preserve"> PAGEREF _Toc4211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color w:val="auto"/>
          <w:highlight w:val="none"/>
        </w:rPr>
        <w:t>一、 法定代表人</w:t>
      </w:r>
      <w:r>
        <w:rPr>
          <w:rFonts w:hint="eastAsia"/>
          <w:color w:val="auto"/>
          <w:highlight w:val="none"/>
          <w:lang w:val="en-US" w:eastAsia="zh-CN"/>
        </w:rPr>
        <w:t>/单位负责人</w:t>
      </w:r>
      <w:r>
        <w:rPr>
          <w:rFonts w:hint="eastAsia"/>
          <w:color w:val="auto"/>
          <w:highlight w:val="none"/>
        </w:rPr>
        <w:t>授权书</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_Toc3148 </w:instrText>
      </w:r>
      <w:r>
        <w:rPr>
          <w:color w:val="auto"/>
          <w:highlight w:val="none"/>
        </w:rPr>
        <w:fldChar w:fldCharType="separate"/>
      </w:r>
      <w:r>
        <w:rPr>
          <w:rFonts w:hint="eastAsia"/>
          <w:color w:val="auto"/>
          <w:highlight w:val="none"/>
          <w:lang w:val="en-US" w:eastAsia="zh-CN"/>
        </w:rPr>
        <w:t>一、 法定代表人/单位负责人证明书</w:t>
      </w:r>
      <w:r>
        <w:rPr>
          <w:color w:val="auto"/>
          <w:highlight w:val="none"/>
        </w:rPr>
        <w:tab/>
      </w:r>
      <w:r>
        <w:rPr>
          <w:color w:val="auto"/>
          <w:highlight w:val="none"/>
        </w:rPr>
        <w:fldChar w:fldCharType="begin"/>
      </w:r>
      <w:r>
        <w:rPr>
          <w:color w:val="auto"/>
          <w:highlight w:val="none"/>
        </w:rPr>
        <w:instrText xml:space="preserve"> PAGEREF _Toc3148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_Toc16946 </w:instrText>
      </w:r>
      <w:r>
        <w:rPr>
          <w:color w:val="auto"/>
          <w:highlight w:val="none"/>
        </w:rPr>
        <w:fldChar w:fldCharType="separate"/>
      </w:r>
      <w:r>
        <w:rPr>
          <w:rFonts w:hint="eastAsia"/>
          <w:color w:val="auto"/>
          <w:highlight w:val="none"/>
          <w:lang w:val="en-US" w:eastAsia="zh-CN"/>
        </w:rPr>
        <w:t>二、 具有独立承担民事责任的能力的证明材料</w:t>
      </w:r>
      <w:r>
        <w:rPr>
          <w:color w:val="auto"/>
          <w:highlight w:val="none"/>
        </w:rPr>
        <w:tab/>
      </w:r>
      <w:r>
        <w:rPr>
          <w:color w:val="auto"/>
          <w:highlight w:val="none"/>
        </w:rPr>
        <w:fldChar w:fldCharType="begin"/>
      </w:r>
      <w:r>
        <w:rPr>
          <w:color w:val="auto"/>
          <w:highlight w:val="none"/>
        </w:rPr>
        <w:instrText xml:space="preserve"> PAGEREF _Toc16946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_Toc3384 </w:instrText>
      </w:r>
      <w:r>
        <w:rPr>
          <w:color w:val="auto"/>
          <w:highlight w:val="none"/>
        </w:rPr>
        <w:fldChar w:fldCharType="separate"/>
      </w:r>
      <w:r>
        <w:rPr>
          <w:rFonts w:hint="eastAsia"/>
          <w:color w:val="auto"/>
          <w:highlight w:val="none"/>
          <w:lang w:val="en-US" w:eastAsia="zh-CN"/>
        </w:rPr>
        <w:t>三、 投标人具有良好的商业信誉和健全的财务会计制度的证明材料</w:t>
      </w:r>
      <w:r>
        <w:rPr>
          <w:color w:val="auto"/>
          <w:highlight w:val="none"/>
        </w:rPr>
        <w:tab/>
      </w:r>
      <w:r>
        <w:rPr>
          <w:color w:val="auto"/>
          <w:highlight w:val="none"/>
        </w:rPr>
        <w:fldChar w:fldCharType="begin"/>
      </w:r>
      <w:r>
        <w:rPr>
          <w:color w:val="auto"/>
          <w:highlight w:val="none"/>
        </w:rPr>
        <w:instrText xml:space="preserve"> PAGEREF _Toc3384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_Toc24224 </w:instrText>
      </w:r>
      <w:r>
        <w:rPr>
          <w:color w:val="auto"/>
          <w:highlight w:val="none"/>
        </w:rPr>
        <w:fldChar w:fldCharType="separate"/>
      </w:r>
      <w:r>
        <w:rPr>
          <w:rFonts w:hint="eastAsia"/>
          <w:color w:val="auto"/>
          <w:highlight w:val="none"/>
          <w:lang w:val="en-US" w:eastAsia="zh-CN"/>
        </w:rPr>
        <w:t>四、 投标人具有依法缴纳税收和社会保障资金的良好记录的证明材料</w:t>
      </w:r>
      <w:r>
        <w:rPr>
          <w:color w:val="auto"/>
          <w:highlight w:val="none"/>
        </w:rPr>
        <w:tab/>
      </w:r>
      <w:r>
        <w:rPr>
          <w:color w:val="auto"/>
          <w:highlight w:val="none"/>
        </w:rPr>
        <w:fldChar w:fldCharType="begin"/>
      </w:r>
      <w:r>
        <w:rPr>
          <w:color w:val="auto"/>
          <w:highlight w:val="none"/>
        </w:rPr>
        <w:instrText xml:space="preserve"> PAGEREF _Toc24224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_Toc30590 </w:instrText>
      </w:r>
      <w:r>
        <w:rPr>
          <w:color w:val="auto"/>
          <w:highlight w:val="none"/>
        </w:rPr>
        <w:fldChar w:fldCharType="separate"/>
      </w:r>
      <w:r>
        <w:rPr>
          <w:rFonts w:hint="eastAsia"/>
          <w:color w:val="auto"/>
          <w:highlight w:val="none"/>
          <w:lang w:val="en-US" w:eastAsia="zh-CN"/>
        </w:rPr>
        <w:t>五、 投标人具有履行合同所必需的设备和专业技术能力证明材料</w:t>
      </w:r>
      <w:r>
        <w:rPr>
          <w:color w:val="auto"/>
          <w:highlight w:val="none"/>
        </w:rPr>
        <w:tab/>
      </w:r>
      <w:r>
        <w:rPr>
          <w:color w:val="auto"/>
          <w:highlight w:val="none"/>
        </w:rPr>
        <w:fldChar w:fldCharType="begin"/>
      </w:r>
      <w:r>
        <w:rPr>
          <w:color w:val="auto"/>
          <w:highlight w:val="none"/>
        </w:rPr>
        <w:instrText xml:space="preserve"> PAGEREF _Toc30590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_Toc16837 </w:instrText>
      </w:r>
      <w:r>
        <w:rPr>
          <w:color w:val="auto"/>
          <w:highlight w:val="none"/>
        </w:rPr>
        <w:fldChar w:fldCharType="separate"/>
      </w:r>
      <w:r>
        <w:rPr>
          <w:rFonts w:hint="eastAsia"/>
          <w:color w:val="auto"/>
          <w:highlight w:val="none"/>
          <w:lang w:val="en-US" w:eastAsia="zh-CN"/>
        </w:rPr>
        <w:t>六、 投标人参加政府采购活动前三年内，在经营活动中没有重大违法记录的证明材料</w:t>
      </w:r>
      <w:r>
        <w:rPr>
          <w:color w:val="auto"/>
          <w:highlight w:val="none"/>
        </w:rPr>
        <w:tab/>
      </w:r>
      <w:r>
        <w:rPr>
          <w:color w:val="auto"/>
          <w:highlight w:val="none"/>
        </w:rPr>
        <w:fldChar w:fldCharType="begin"/>
      </w:r>
      <w:r>
        <w:rPr>
          <w:color w:val="auto"/>
          <w:highlight w:val="none"/>
        </w:rPr>
        <w:instrText xml:space="preserve"> PAGEREF _Toc16837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_Toc16697 </w:instrText>
      </w:r>
      <w:r>
        <w:rPr>
          <w:color w:val="auto"/>
          <w:highlight w:val="none"/>
        </w:rPr>
        <w:fldChar w:fldCharType="separate"/>
      </w:r>
      <w:r>
        <w:rPr>
          <w:rFonts w:hint="eastAsia"/>
          <w:color w:val="auto"/>
          <w:highlight w:val="none"/>
          <w:lang w:val="zh-CN" w:eastAsia="zh-CN"/>
        </w:rPr>
        <w:t xml:space="preserve">七、 </w:t>
      </w:r>
      <w:r>
        <w:rPr>
          <w:rFonts w:hint="eastAsia"/>
          <w:color w:val="auto"/>
          <w:highlight w:val="none"/>
          <w:lang w:val="en-US" w:eastAsia="zh-CN"/>
        </w:rPr>
        <w:t>投标人</w:t>
      </w:r>
      <w:r>
        <w:rPr>
          <w:rFonts w:hint="eastAsia"/>
          <w:color w:val="auto"/>
          <w:highlight w:val="none"/>
          <w:lang w:val="zh-CN" w:eastAsia="zh-CN"/>
        </w:rPr>
        <w:t>及其现任法定代表人、主要负责人不得具有行贿犯罪记录</w:t>
      </w:r>
      <w:r>
        <w:rPr>
          <w:rFonts w:hint="eastAsia"/>
          <w:color w:val="auto"/>
          <w:highlight w:val="none"/>
          <w:lang w:val="en-US" w:eastAsia="zh-CN"/>
        </w:rPr>
        <w:t>的承诺函</w:t>
      </w:r>
      <w:r>
        <w:rPr>
          <w:color w:val="auto"/>
          <w:highlight w:val="none"/>
        </w:rPr>
        <w:tab/>
      </w:r>
      <w:r>
        <w:rPr>
          <w:color w:val="auto"/>
          <w:highlight w:val="none"/>
        </w:rPr>
        <w:fldChar w:fldCharType="begin"/>
      </w:r>
      <w:r>
        <w:rPr>
          <w:color w:val="auto"/>
          <w:highlight w:val="none"/>
        </w:rPr>
        <w:instrText xml:space="preserve"> PAGEREF _Toc16697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_Toc4404 </w:instrText>
      </w:r>
      <w:r>
        <w:rPr>
          <w:color w:val="auto"/>
          <w:highlight w:val="none"/>
        </w:rPr>
        <w:fldChar w:fldCharType="separate"/>
      </w:r>
      <w:r>
        <w:rPr>
          <w:rFonts w:hint="eastAsia"/>
          <w:color w:val="auto"/>
          <w:highlight w:val="none"/>
          <w:lang w:val="en-US" w:eastAsia="zh-CN"/>
        </w:rPr>
        <w:t>八、 符合《中华人民共和国政府采购法》第二十二条规定的条件的承诺及声明函</w:t>
      </w:r>
      <w:r>
        <w:rPr>
          <w:color w:val="auto"/>
          <w:highlight w:val="none"/>
        </w:rPr>
        <w:tab/>
      </w:r>
      <w:r>
        <w:rPr>
          <w:color w:val="auto"/>
          <w:highlight w:val="none"/>
        </w:rPr>
        <w:fldChar w:fldCharType="begin"/>
      </w:r>
      <w:r>
        <w:rPr>
          <w:color w:val="auto"/>
          <w:highlight w:val="none"/>
        </w:rPr>
        <w:instrText xml:space="preserve"> PAGEREF _Toc4404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_Toc15022 </w:instrText>
      </w:r>
      <w:r>
        <w:rPr>
          <w:color w:val="auto"/>
          <w:highlight w:val="none"/>
        </w:rPr>
        <w:fldChar w:fldCharType="separate"/>
      </w:r>
      <w:r>
        <w:rPr>
          <w:rFonts w:hint="eastAsia"/>
          <w:color w:val="auto"/>
          <w:szCs w:val="32"/>
          <w:highlight w:val="none"/>
        </w:rPr>
        <w:t>第</w:t>
      </w:r>
      <w:r>
        <w:rPr>
          <w:rFonts w:hint="eastAsia"/>
          <w:color w:val="auto"/>
          <w:szCs w:val="32"/>
          <w:highlight w:val="none"/>
          <w:lang w:val="en-US" w:eastAsia="zh-CN"/>
        </w:rPr>
        <w:t>二</w:t>
      </w:r>
      <w:r>
        <w:rPr>
          <w:rFonts w:hint="eastAsia"/>
          <w:color w:val="auto"/>
          <w:szCs w:val="32"/>
          <w:highlight w:val="none"/>
        </w:rPr>
        <w:t>部分 其他</w:t>
      </w:r>
      <w:r>
        <w:rPr>
          <w:rFonts w:hint="eastAsia"/>
          <w:color w:val="auto"/>
          <w:szCs w:val="32"/>
          <w:highlight w:val="none"/>
          <w:lang w:val="en-US" w:eastAsia="zh-CN"/>
        </w:rPr>
        <w:t>投标</w:t>
      </w:r>
      <w:r>
        <w:rPr>
          <w:rFonts w:hint="eastAsia"/>
          <w:color w:val="auto"/>
          <w:szCs w:val="32"/>
          <w:highlight w:val="none"/>
        </w:rPr>
        <w:t>文件(格式)</w:t>
      </w:r>
      <w:r>
        <w:rPr>
          <w:color w:val="auto"/>
          <w:highlight w:val="none"/>
        </w:rPr>
        <w:tab/>
      </w:r>
      <w:r>
        <w:rPr>
          <w:color w:val="auto"/>
          <w:highlight w:val="none"/>
        </w:rPr>
        <w:fldChar w:fldCharType="begin"/>
      </w:r>
      <w:r>
        <w:rPr>
          <w:color w:val="auto"/>
          <w:highlight w:val="none"/>
        </w:rPr>
        <w:instrText xml:space="preserve"> PAGEREF _Toc15022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_Toc9386 </w:instrText>
      </w:r>
      <w:r>
        <w:rPr>
          <w:color w:val="auto"/>
          <w:highlight w:val="none"/>
        </w:rPr>
        <w:fldChar w:fldCharType="separate"/>
      </w:r>
      <w:r>
        <w:rPr>
          <w:rFonts w:hint="eastAsia"/>
          <w:color w:val="auto"/>
          <w:highlight w:val="none"/>
          <w:lang w:val="en-US" w:eastAsia="zh-CN"/>
        </w:rPr>
        <w:t>一、 投标函</w:t>
      </w:r>
      <w:r>
        <w:rPr>
          <w:color w:val="auto"/>
          <w:highlight w:val="none"/>
        </w:rPr>
        <w:tab/>
      </w:r>
      <w:r>
        <w:rPr>
          <w:color w:val="auto"/>
          <w:highlight w:val="none"/>
        </w:rPr>
        <w:fldChar w:fldCharType="begin"/>
      </w:r>
      <w:r>
        <w:rPr>
          <w:color w:val="auto"/>
          <w:highlight w:val="none"/>
        </w:rPr>
        <w:instrText xml:space="preserve"> PAGEREF _Toc9386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_Toc23402 </w:instrText>
      </w:r>
      <w:r>
        <w:rPr>
          <w:color w:val="auto"/>
          <w:highlight w:val="none"/>
        </w:rPr>
        <w:fldChar w:fldCharType="separate"/>
      </w:r>
      <w:r>
        <w:rPr>
          <w:rFonts w:hint="eastAsia"/>
          <w:color w:val="auto"/>
          <w:highlight w:val="none"/>
          <w:lang w:val="en-US" w:eastAsia="zh-CN"/>
        </w:rPr>
        <w:t>二、 实质性要求承诺</w:t>
      </w:r>
      <w:r>
        <w:rPr>
          <w:color w:val="auto"/>
          <w:highlight w:val="none"/>
        </w:rPr>
        <w:tab/>
      </w:r>
      <w:r>
        <w:rPr>
          <w:color w:val="auto"/>
          <w:highlight w:val="none"/>
        </w:rPr>
        <w:fldChar w:fldCharType="begin"/>
      </w:r>
      <w:r>
        <w:rPr>
          <w:color w:val="auto"/>
          <w:highlight w:val="none"/>
        </w:rPr>
        <w:instrText xml:space="preserve"> PAGEREF _Toc23402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_Toc8510 </w:instrText>
      </w:r>
      <w:r>
        <w:rPr>
          <w:color w:val="auto"/>
          <w:highlight w:val="none"/>
        </w:rPr>
        <w:fldChar w:fldCharType="separate"/>
      </w:r>
      <w:r>
        <w:rPr>
          <w:rFonts w:hint="eastAsia"/>
          <w:color w:val="auto"/>
          <w:highlight w:val="none"/>
          <w:lang w:val="en-US" w:eastAsia="zh-CN"/>
        </w:rPr>
        <w:t>三、 投标人基本情况表</w:t>
      </w:r>
      <w:r>
        <w:rPr>
          <w:color w:val="auto"/>
          <w:highlight w:val="none"/>
        </w:rPr>
        <w:tab/>
      </w:r>
      <w:r>
        <w:rPr>
          <w:color w:val="auto"/>
          <w:highlight w:val="none"/>
        </w:rPr>
        <w:fldChar w:fldCharType="begin"/>
      </w:r>
      <w:r>
        <w:rPr>
          <w:color w:val="auto"/>
          <w:highlight w:val="none"/>
        </w:rPr>
        <w:instrText xml:space="preserve"> PAGEREF _Toc8510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_Toc30970 </w:instrText>
      </w:r>
      <w:r>
        <w:rPr>
          <w:color w:val="auto"/>
          <w:highlight w:val="none"/>
        </w:rPr>
        <w:fldChar w:fldCharType="separate"/>
      </w:r>
      <w:r>
        <w:rPr>
          <w:rFonts w:hint="eastAsia"/>
          <w:color w:val="auto"/>
          <w:highlight w:val="none"/>
          <w:lang w:val="en-US" w:eastAsia="zh-CN"/>
        </w:rPr>
        <w:t>四、 开标一览表</w:t>
      </w:r>
      <w:r>
        <w:rPr>
          <w:color w:val="auto"/>
          <w:highlight w:val="none"/>
        </w:rPr>
        <w:tab/>
      </w:r>
      <w:r>
        <w:rPr>
          <w:color w:val="auto"/>
          <w:highlight w:val="none"/>
        </w:rPr>
        <w:fldChar w:fldCharType="begin"/>
      </w:r>
      <w:r>
        <w:rPr>
          <w:color w:val="auto"/>
          <w:highlight w:val="none"/>
        </w:rPr>
        <w:instrText xml:space="preserve"> PAGEREF _Toc30970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_Toc32722 </w:instrText>
      </w:r>
      <w:r>
        <w:rPr>
          <w:color w:val="auto"/>
          <w:highlight w:val="none"/>
        </w:rPr>
        <w:fldChar w:fldCharType="separate"/>
      </w:r>
      <w:r>
        <w:rPr>
          <w:rFonts w:hint="eastAsia"/>
          <w:color w:val="auto"/>
          <w:highlight w:val="none"/>
          <w:lang w:val="en-US" w:eastAsia="zh-CN"/>
        </w:rPr>
        <w:t>五、 分项报价明细表</w:t>
      </w:r>
      <w:r>
        <w:rPr>
          <w:color w:val="auto"/>
          <w:highlight w:val="none"/>
        </w:rPr>
        <w:tab/>
      </w:r>
      <w:r>
        <w:rPr>
          <w:color w:val="auto"/>
          <w:highlight w:val="none"/>
        </w:rPr>
        <w:fldChar w:fldCharType="begin"/>
      </w:r>
      <w:r>
        <w:rPr>
          <w:color w:val="auto"/>
          <w:highlight w:val="none"/>
        </w:rPr>
        <w:instrText xml:space="preserve"> PAGEREF _Toc32722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_Toc25620 </w:instrText>
      </w:r>
      <w:r>
        <w:rPr>
          <w:color w:val="auto"/>
          <w:highlight w:val="none"/>
        </w:rPr>
        <w:fldChar w:fldCharType="separate"/>
      </w:r>
      <w:r>
        <w:rPr>
          <w:rFonts w:hint="eastAsia"/>
          <w:color w:val="auto"/>
          <w:highlight w:val="none"/>
          <w:lang w:val="en-US" w:eastAsia="zh-CN"/>
        </w:rPr>
        <w:t>六、 商务应答表</w:t>
      </w:r>
      <w:r>
        <w:rPr>
          <w:color w:val="auto"/>
          <w:highlight w:val="none"/>
        </w:rPr>
        <w:tab/>
      </w:r>
      <w:r>
        <w:rPr>
          <w:color w:val="auto"/>
          <w:highlight w:val="none"/>
        </w:rPr>
        <w:fldChar w:fldCharType="begin"/>
      </w:r>
      <w:r>
        <w:rPr>
          <w:color w:val="auto"/>
          <w:highlight w:val="none"/>
        </w:rPr>
        <w:instrText xml:space="preserve"> PAGEREF _Toc25620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_Toc22547 </w:instrText>
      </w:r>
      <w:r>
        <w:rPr>
          <w:color w:val="auto"/>
          <w:highlight w:val="none"/>
        </w:rPr>
        <w:fldChar w:fldCharType="separate"/>
      </w:r>
      <w:r>
        <w:rPr>
          <w:rFonts w:hint="eastAsia"/>
          <w:color w:val="auto"/>
          <w:highlight w:val="none"/>
          <w:lang w:val="en-US" w:eastAsia="zh-CN"/>
        </w:rPr>
        <w:t>七、 投标产品技术参数应答表</w:t>
      </w:r>
      <w:r>
        <w:rPr>
          <w:color w:val="auto"/>
          <w:highlight w:val="none"/>
        </w:rPr>
        <w:tab/>
      </w:r>
      <w:r>
        <w:rPr>
          <w:color w:val="auto"/>
          <w:highlight w:val="none"/>
        </w:rPr>
        <w:fldChar w:fldCharType="begin"/>
      </w:r>
      <w:r>
        <w:rPr>
          <w:color w:val="auto"/>
          <w:highlight w:val="none"/>
        </w:rPr>
        <w:instrText xml:space="preserve"> PAGEREF _Toc22547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_Toc28854 </w:instrText>
      </w:r>
      <w:r>
        <w:rPr>
          <w:color w:val="auto"/>
          <w:highlight w:val="none"/>
        </w:rPr>
        <w:fldChar w:fldCharType="separate"/>
      </w:r>
      <w:r>
        <w:rPr>
          <w:rFonts w:hint="eastAsia"/>
          <w:color w:val="auto"/>
          <w:highlight w:val="none"/>
          <w:lang w:val="en-US" w:eastAsia="zh-CN"/>
        </w:rPr>
        <w:t>八、 履约能力及相关证明</w:t>
      </w:r>
      <w:r>
        <w:rPr>
          <w:color w:val="auto"/>
          <w:highlight w:val="none"/>
        </w:rPr>
        <w:tab/>
      </w:r>
      <w:r>
        <w:rPr>
          <w:color w:val="auto"/>
          <w:highlight w:val="none"/>
        </w:rPr>
        <w:fldChar w:fldCharType="begin"/>
      </w:r>
      <w:r>
        <w:rPr>
          <w:color w:val="auto"/>
          <w:highlight w:val="none"/>
        </w:rPr>
        <w:instrText xml:space="preserve"> PAGEREF _Toc28854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_Toc5916 </w:instrText>
      </w:r>
      <w:r>
        <w:rPr>
          <w:color w:val="auto"/>
          <w:highlight w:val="none"/>
        </w:rPr>
        <w:fldChar w:fldCharType="separate"/>
      </w:r>
      <w:r>
        <w:rPr>
          <w:rFonts w:hint="eastAsia"/>
          <w:color w:val="auto"/>
          <w:highlight w:val="none"/>
          <w:lang w:val="en-US" w:eastAsia="zh-CN"/>
        </w:rPr>
        <w:t>九、 投标人针对本项目人员配置情况表</w:t>
      </w:r>
      <w:r>
        <w:rPr>
          <w:color w:val="auto"/>
          <w:highlight w:val="none"/>
        </w:rPr>
        <w:tab/>
      </w:r>
      <w:r>
        <w:rPr>
          <w:color w:val="auto"/>
          <w:highlight w:val="none"/>
        </w:rPr>
        <w:fldChar w:fldCharType="begin"/>
      </w:r>
      <w:r>
        <w:rPr>
          <w:color w:val="auto"/>
          <w:highlight w:val="none"/>
        </w:rPr>
        <w:instrText xml:space="preserve"> PAGEREF _Toc5916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_Toc8363 </w:instrText>
      </w:r>
      <w:r>
        <w:rPr>
          <w:color w:val="auto"/>
          <w:highlight w:val="none"/>
        </w:rPr>
        <w:fldChar w:fldCharType="separate"/>
      </w:r>
      <w:r>
        <w:rPr>
          <w:rFonts w:hint="eastAsia"/>
          <w:color w:val="auto"/>
          <w:highlight w:val="none"/>
          <w:lang w:val="en-US" w:eastAsia="zh-CN"/>
        </w:rPr>
        <w:t>十、 中小企业声明函(货物)</w:t>
      </w:r>
      <w:r>
        <w:rPr>
          <w:color w:val="auto"/>
          <w:highlight w:val="none"/>
        </w:rPr>
        <w:tab/>
      </w:r>
      <w:r>
        <w:rPr>
          <w:color w:val="auto"/>
          <w:highlight w:val="none"/>
        </w:rPr>
        <w:fldChar w:fldCharType="begin"/>
      </w:r>
      <w:r>
        <w:rPr>
          <w:color w:val="auto"/>
          <w:highlight w:val="none"/>
        </w:rPr>
        <w:instrText xml:space="preserve"> PAGEREF _Toc8363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_Toc14544 </w:instrText>
      </w:r>
      <w:r>
        <w:rPr>
          <w:color w:val="auto"/>
          <w:highlight w:val="none"/>
        </w:rPr>
        <w:fldChar w:fldCharType="separate"/>
      </w:r>
      <w:r>
        <w:rPr>
          <w:rFonts w:hint="eastAsia"/>
          <w:color w:val="auto"/>
          <w:highlight w:val="none"/>
          <w:lang w:val="en-US" w:eastAsia="zh-CN"/>
        </w:rPr>
        <w:t>十一、 监狱企业相关证明材料(如涉及)</w:t>
      </w:r>
      <w:r>
        <w:rPr>
          <w:color w:val="auto"/>
          <w:highlight w:val="none"/>
        </w:rPr>
        <w:tab/>
      </w:r>
      <w:r>
        <w:rPr>
          <w:color w:val="auto"/>
          <w:highlight w:val="none"/>
        </w:rPr>
        <w:fldChar w:fldCharType="begin"/>
      </w:r>
      <w:r>
        <w:rPr>
          <w:color w:val="auto"/>
          <w:highlight w:val="none"/>
        </w:rPr>
        <w:instrText xml:space="preserve"> PAGEREF _Toc14544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int="eastAsia"/>
          <w:color w:val="auto"/>
          <w:highlight w:val="none"/>
          <w:lang w:val="en-US" w:eastAsia="zh-CN"/>
        </w:rPr>
        <w:t>十二、 残疾人福利性单位声明函(如涉及)</w:t>
      </w:r>
      <w:r>
        <w:rPr>
          <w:color w:val="auto"/>
          <w:highlight w:val="none"/>
        </w:rPr>
        <w:tab/>
      </w:r>
      <w:r>
        <w:rPr>
          <w:color w:val="auto"/>
          <w:highlight w:val="none"/>
        </w:rPr>
        <w:fldChar w:fldCharType="begin"/>
      </w:r>
      <w:r>
        <w:rPr>
          <w:color w:val="auto"/>
          <w:highlight w:val="none"/>
        </w:rPr>
        <w:instrText xml:space="preserve"> PAGEREF _Toc7520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_Toc28130 </w:instrText>
      </w:r>
      <w:r>
        <w:rPr>
          <w:color w:val="auto"/>
          <w:highlight w:val="none"/>
        </w:rPr>
        <w:fldChar w:fldCharType="separate"/>
      </w:r>
      <w:r>
        <w:rPr>
          <w:rFonts w:hint="eastAsia"/>
          <w:color w:val="auto"/>
          <w:highlight w:val="none"/>
          <w:lang w:val="en-US" w:eastAsia="zh-CN"/>
        </w:rPr>
        <w:t>十三、 培训及售后服务方案</w:t>
      </w:r>
      <w:r>
        <w:rPr>
          <w:color w:val="auto"/>
          <w:highlight w:val="none"/>
        </w:rPr>
        <w:tab/>
      </w:r>
      <w:r>
        <w:rPr>
          <w:color w:val="auto"/>
          <w:highlight w:val="none"/>
        </w:rPr>
        <w:fldChar w:fldCharType="begin"/>
      </w:r>
      <w:r>
        <w:rPr>
          <w:color w:val="auto"/>
          <w:highlight w:val="none"/>
        </w:rPr>
        <w:instrText xml:space="preserve"> PAGEREF _Toc28130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_Toc12856 </w:instrText>
      </w:r>
      <w:r>
        <w:rPr>
          <w:color w:val="auto"/>
          <w:highlight w:val="none"/>
        </w:rPr>
        <w:fldChar w:fldCharType="separate"/>
      </w:r>
      <w:r>
        <w:rPr>
          <w:rFonts w:hint="eastAsia" w:ascii="宋体" w:hAnsi="宋体" w:eastAsia="宋体" w:cstheme="minorBidi"/>
          <w:snapToGrid w:val="0"/>
          <w:color w:val="auto"/>
          <w:kern w:val="2"/>
          <w:szCs w:val="24"/>
          <w:highlight w:val="none"/>
          <w:lang w:val="en-US" w:eastAsia="zh-CN" w:bidi="ar-SA"/>
        </w:rPr>
        <w:t xml:space="preserve">十四、 </w:t>
      </w:r>
      <w:r>
        <w:rPr>
          <w:rFonts w:hint="eastAsia"/>
          <w:color w:val="auto"/>
          <w:highlight w:val="none"/>
          <w:lang w:val="en-US" w:eastAsia="zh-CN"/>
        </w:rPr>
        <w:t>商品</w:t>
      </w:r>
      <w:r>
        <w:rPr>
          <w:rFonts w:hint="eastAsia" w:ascii="宋体" w:hAnsi="宋体" w:eastAsia="宋体" w:cstheme="minorBidi"/>
          <w:snapToGrid w:val="0"/>
          <w:color w:val="auto"/>
          <w:kern w:val="2"/>
          <w:szCs w:val="24"/>
          <w:highlight w:val="none"/>
          <w:lang w:val="en-US" w:eastAsia="zh-CN" w:bidi="ar-SA"/>
        </w:rPr>
        <w:t>包装、快递包装承诺函</w:t>
      </w:r>
      <w:r>
        <w:rPr>
          <w:color w:val="auto"/>
          <w:highlight w:val="none"/>
        </w:rPr>
        <w:tab/>
      </w:r>
      <w:r>
        <w:rPr>
          <w:color w:val="auto"/>
          <w:highlight w:val="none"/>
        </w:rPr>
        <w:fldChar w:fldCharType="begin"/>
      </w:r>
      <w:r>
        <w:rPr>
          <w:color w:val="auto"/>
          <w:highlight w:val="none"/>
        </w:rPr>
        <w:instrText xml:space="preserve"> PAGEREF _Toc12856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2"/>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_Toc29267 </w:instrText>
      </w:r>
      <w:r>
        <w:rPr>
          <w:color w:val="auto"/>
          <w:highlight w:val="none"/>
        </w:rPr>
        <w:fldChar w:fldCharType="separate"/>
      </w:r>
      <w:r>
        <w:rPr>
          <w:rFonts w:hint="eastAsia"/>
          <w:color w:val="auto"/>
          <w:highlight w:val="none"/>
          <w:lang w:val="en-US" w:eastAsia="zh-CN"/>
        </w:rPr>
        <w:t>十五、 招标代理服务费承诺函</w:t>
      </w:r>
      <w:r>
        <w:rPr>
          <w:color w:val="auto"/>
          <w:highlight w:val="none"/>
        </w:rPr>
        <w:tab/>
      </w:r>
      <w:r>
        <w:rPr>
          <w:color w:val="auto"/>
          <w:highlight w:val="none"/>
        </w:rPr>
        <w:fldChar w:fldCharType="begin"/>
      </w:r>
      <w:r>
        <w:rPr>
          <w:color w:val="auto"/>
          <w:highlight w:val="none"/>
        </w:rPr>
        <w:instrText xml:space="preserve"> PAGEREF _Toc29267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_Toc16029 </w:instrText>
      </w:r>
      <w:r>
        <w:rPr>
          <w:color w:val="auto"/>
          <w:highlight w:val="none"/>
        </w:rPr>
        <w:fldChar w:fldCharType="separate"/>
      </w:r>
      <w:r>
        <w:rPr>
          <w:rFonts w:hint="eastAsia" w:ascii="宋体" w:hAnsi="宋体" w:eastAsia="宋体" w:cs="宋体"/>
          <w:color w:val="auto"/>
          <w:w w:val="95"/>
          <w:highlight w:val="none"/>
          <w:lang w:val="en-US" w:eastAsia="zh-CN"/>
        </w:rPr>
        <w:t xml:space="preserve">第四章 </w:t>
      </w:r>
      <w:r>
        <w:rPr>
          <w:rFonts w:hint="eastAsia"/>
          <w:color w:val="auto"/>
          <w:w w:val="95"/>
          <w:highlight w:val="none"/>
          <w:lang w:val="en-US" w:eastAsia="zh-CN"/>
        </w:rPr>
        <w:t>投标人和投标产品的资格、资质性及其他类似效力要求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_Toc16029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_Toc22556 </w:instrText>
      </w:r>
      <w:r>
        <w:rPr>
          <w:color w:val="auto"/>
          <w:highlight w:val="none"/>
        </w:rPr>
        <w:fldChar w:fldCharType="separate"/>
      </w:r>
      <w:r>
        <w:rPr>
          <w:rFonts w:hint="eastAsia" w:ascii="宋体" w:hAnsi="宋体" w:eastAsia="宋体" w:cs="宋体"/>
          <w:color w:val="auto"/>
          <w:highlight w:val="none"/>
          <w:lang w:val="zh-CN"/>
        </w:rPr>
        <w:t xml:space="preserve">一、 </w:t>
      </w:r>
      <w:r>
        <w:rPr>
          <w:rFonts w:hint="eastAsia"/>
          <w:color w:val="auto"/>
          <w:highlight w:val="none"/>
        </w:rPr>
        <w:t>投标人资格、资质性及其他类似效力要求</w:t>
      </w:r>
      <w:r>
        <w:rPr>
          <w:color w:val="auto"/>
          <w:highlight w:val="none"/>
        </w:rPr>
        <w:tab/>
      </w:r>
      <w:r>
        <w:rPr>
          <w:color w:val="auto"/>
          <w:highlight w:val="none"/>
        </w:rPr>
        <w:fldChar w:fldCharType="begin"/>
      </w:r>
      <w:r>
        <w:rPr>
          <w:color w:val="auto"/>
          <w:highlight w:val="none"/>
        </w:rPr>
        <w:instrText xml:space="preserve"> PAGEREF _Toc22556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_Toc25589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_Toc25589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_Toc32025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其他类似效力要求</w:t>
      </w:r>
      <w:r>
        <w:rPr>
          <w:color w:val="auto"/>
          <w:highlight w:val="none"/>
        </w:rPr>
        <w:tab/>
      </w:r>
      <w:r>
        <w:rPr>
          <w:color w:val="auto"/>
          <w:highlight w:val="none"/>
        </w:rPr>
        <w:fldChar w:fldCharType="begin"/>
      </w:r>
      <w:r>
        <w:rPr>
          <w:color w:val="auto"/>
          <w:highlight w:val="none"/>
        </w:rPr>
        <w:instrText xml:space="preserve"> PAGEREF _Toc32025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_Toc27281 </w:instrText>
      </w:r>
      <w:r>
        <w:rPr>
          <w:color w:val="auto"/>
          <w:highlight w:val="none"/>
        </w:rPr>
        <w:fldChar w:fldCharType="separate"/>
      </w:r>
      <w:r>
        <w:rPr>
          <w:rFonts w:hint="eastAsia" w:ascii="宋体" w:hAnsi="宋体" w:eastAsia="宋体" w:cs="宋体"/>
          <w:color w:val="auto"/>
          <w:highlight w:val="none"/>
          <w:lang w:val="en-US" w:eastAsia="zh-CN"/>
        </w:rPr>
        <w:t xml:space="preserve">第五章 </w:t>
      </w:r>
      <w:r>
        <w:rPr>
          <w:rFonts w:hint="eastAsia"/>
          <w:color w:val="auto"/>
          <w:highlight w:val="none"/>
          <w:lang w:val="en-US" w:eastAsia="zh-CN"/>
        </w:rPr>
        <w:t>资格性审查内容</w:t>
      </w:r>
      <w:r>
        <w:rPr>
          <w:color w:val="auto"/>
          <w:highlight w:val="none"/>
        </w:rPr>
        <w:tab/>
      </w:r>
      <w:r>
        <w:rPr>
          <w:color w:val="auto"/>
          <w:highlight w:val="none"/>
        </w:rPr>
        <w:fldChar w:fldCharType="begin"/>
      </w:r>
      <w:r>
        <w:rPr>
          <w:color w:val="auto"/>
          <w:highlight w:val="none"/>
        </w:rPr>
        <w:instrText xml:space="preserve"> PAGEREF _Toc27281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_Toc30506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应当提供的投标人</w:t>
      </w:r>
      <w:r>
        <w:rPr>
          <w:rFonts w:hint="eastAsia"/>
          <w:color w:val="auto"/>
          <w:highlight w:val="none"/>
          <w:lang w:eastAsia="zh-CN"/>
        </w:rPr>
        <w:t>及投标产品</w:t>
      </w:r>
      <w:r>
        <w:rPr>
          <w:rFonts w:hint="eastAsia"/>
          <w:color w:val="auto"/>
          <w:highlight w:val="none"/>
        </w:rPr>
        <w:t>资格、资质性及其他类似效力要求的相关证明材料</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_Toc14301 </w:instrText>
      </w:r>
      <w:r>
        <w:rPr>
          <w:color w:val="auto"/>
          <w:highlight w:val="none"/>
        </w:rPr>
        <w:fldChar w:fldCharType="separate"/>
      </w:r>
      <w:r>
        <w:rPr>
          <w:rFonts w:hint="eastAsia" w:ascii="宋体" w:hAnsi="宋体" w:eastAsia="宋体" w:cs="宋体"/>
          <w:color w:val="auto"/>
          <w:highlight w:val="none"/>
          <w:lang w:eastAsia="zh-CN"/>
        </w:rPr>
        <w:t xml:space="preserve">二、 </w:t>
      </w:r>
      <w:r>
        <w:rPr>
          <w:rFonts w:hint="eastAsia"/>
          <w:color w:val="auto"/>
          <w:highlight w:val="none"/>
          <w:lang w:eastAsia="zh-CN"/>
        </w:rPr>
        <w:t>审查程序</w:t>
      </w:r>
      <w:r>
        <w:rPr>
          <w:color w:val="auto"/>
          <w:highlight w:val="none"/>
        </w:rPr>
        <w:tab/>
      </w:r>
      <w:r>
        <w:rPr>
          <w:color w:val="auto"/>
          <w:highlight w:val="none"/>
        </w:rPr>
        <w:fldChar w:fldCharType="begin"/>
      </w:r>
      <w:r>
        <w:rPr>
          <w:color w:val="auto"/>
          <w:highlight w:val="none"/>
        </w:rPr>
        <w:instrText xml:space="preserve"> PAGEREF _Toc14301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_Toc23900 </w:instrText>
      </w:r>
      <w:r>
        <w:rPr>
          <w:color w:val="auto"/>
          <w:highlight w:val="none"/>
        </w:rPr>
        <w:fldChar w:fldCharType="separate"/>
      </w:r>
      <w:r>
        <w:rPr>
          <w:rFonts w:hint="eastAsia" w:ascii="宋体" w:hAnsi="宋体" w:eastAsia="宋体" w:cs="宋体"/>
          <w:color w:val="auto"/>
          <w:highlight w:val="none"/>
        </w:rPr>
        <w:t xml:space="preserve">第六章 </w:t>
      </w:r>
      <w:r>
        <w:rPr>
          <w:rFonts w:hint="eastAsia"/>
          <w:color w:val="auto"/>
          <w:highlight w:val="none"/>
        </w:rPr>
        <w:t>招标项目技术、服务、政府采购合同内容条款及其他商务要求</w:t>
      </w:r>
      <w:r>
        <w:rPr>
          <w:color w:val="auto"/>
          <w:highlight w:val="none"/>
        </w:rPr>
        <w:tab/>
      </w:r>
      <w:r>
        <w:rPr>
          <w:color w:val="auto"/>
          <w:highlight w:val="none"/>
        </w:rPr>
        <w:fldChar w:fldCharType="begin"/>
      </w:r>
      <w:r>
        <w:rPr>
          <w:color w:val="auto"/>
          <w:highlight w:val="none"/>
        </w:rPr>
        <w:instrText xml:space="preserve"> PAGEREF _Toc23900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_Toc10314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一、 </w:t>
      </w:r>
      <w:r>
        <w:rPr>
          <w:rFonts w:hint="eastAsia" w:ascii="宋体" w:hAnsi="宋体" w:eastAsia="宋体" w:cstheme="minorBidi"/>
          <w:color w:val="auto"/>
          <w:kern w:val="2"/>
          <w:szCs w:val="24"/>
          <w:highlight w:val="none"/>
          <w:lang w:val="en-US" w:eastAsia="zh-CN" w:bidi="ar-SA"/>
        </w:rPr>
        <w:t>项目概述</w:t>
      </w:r>
      <w:r>
        <w:rPr>
          <w:color w:val="auto"/>
          <w:highlight w:val="none"/>
        </w:rPr>
        <w:tab/>
      </w:r>
      <w:r>
        <w:rPr>
          <w:color w:val="auto"/>
          <w:highlight w:val="none"/>
        </w:rPr>
        <w:fldChar w:fldCharType="begin"/>
      </w:r>
      <w:r>
        <w:rPr>
          <w:color w:val="auto"/>
          <w:highlight w:val="none"/>
        </w:rPr>
        <w:instrText xml:space="preserve"> PAGEREF _Toc10314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_Toc32430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二、 </w:t>
      </w:r>
      <w:r>
        <w:rPr>
          <w:rFonts w:hint="eastAsia" w:ascii="宋体" w:hAnsi="宋体" w:eastAsia="宋体" w:cstheme="minorBidi"/>
          <w:color w:val="auto"/>
          <w:kern w:val="2"/>
          <w:szCs w:val="24"/>
          <w:highlight w:val="none"/>
          <w:lang w:val="en-US" w:eastAsia="zh-CN" w:bidi="ar-SA"/>
        </w:rPr>
        <w:t>本项目核心产品</w:t>
      </w:r>
      <w:r>
        <w:rPr>
          <w:color w:val="auto"/>
          <w:highlight w:val="none"/>
        </w:rPr>
        <w:tab/>
      </w:r>
      <w:r>
        <w:rPr>
          <w:color w:val="auto"/>
          <w:highlight w:val="none"/>
        </w:rPr>
        <w:fldChar w:fldCharType="begin"/>
      </w:r>
      <w:r>
        <w:rPr>
          <w:color w:val="auto"/>
          <w:highlight w:val="none"/>
        </w:rPr>
        <w:instrText xml:space="preserve"> PAGEREF _Toc32430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_Toc22954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三、 </w:t>
      </w:r>
      <w:r>
        <w:rPr>
          <w:rFonts w:hint="eastAsia" w:ascii="宋体" w:hAnsi="宋体" w:eastAsia="宋体" w:cstheme="minorBidi"/>
          <w:color w:val="auto"/>
          <w:kern w:val="2"/>
          <w:szCs w:val="24"/>
          <w:highlight w:val="none"/>
          <w:lang w:val="en-US" w:eastAsia="zh-CN" w:bidi="ar-SA"/>
        </w:rPr>
        <w:t>采购清单</w:t>
      </w:r>
      <w:r>
        <w:rPr>
          <w:color w:val="auto"/>
          <w:highlight w:val="none"/>
        </w:rPr>
        <w:tab/>
      </w:r>
      <w:r>
        <w:rPr>
          <w:color w:val="auto"/>
          <w:highlight w:val="none"/>
        </w:rPr>
        <w:fldChar w:fldCharType="begin"/>
      </w:r>
      <w:r>
        <w:rPr>
          <w:color w:val="auto"/>
          <w:highlight w:val="none"/>
        </w:rPr>
        <w:instrText xml:space="preserve"> PAGEREF _Toc22954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_Toc25388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四、 </w:t>
      </w:r>
      <w:r>
        <w:rPr>
          <w:rFonts w:hint="eastAsia" w:ascii="宋体" w:hAnsi="宋体" w:eastAsia="宋体" w:cstheme="minorBidi"/>
          <w:color w:val="auto"/>
          <w:kern w:val="2"/>
          <w:szCs w:val="24"/>
          <w:highlight w:val="none"/>
          <w:lang w:val="en-US" w:eastAsia="zh-CN" w:bidi="ar-SA"/>
        </w:rPr>
        <w:t>技术参数及功能要求</w:t>
      </w:r>
      <w:r>
        <w:rPr>
          <w:color w:val="auto"/>
          <w:highlight w:val="none"/>
        </w:rPr>
        <w:tab/>
      </w:r>
      <w:r>
        <w:rPr>
          <w:color w:val="auto"/>
          <w:highlight w:val="none"/>
        </w:rPr>
        <w:fldChar w:fldCharType="begin"/>
      </w:r>
      <w:r>
        <w:rPr>
          <w:color w:val="auto"/>
          <w:highlight w:val="none"/>
        </w:rPr>
        <w:instrText xml:space="preserve"> PAGEREF _Toc25388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_Toc6259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五、 </w:t>
      </w:r>
      <w:r>
        <w:rPr>
          <w:rFonts w:hint="eastAsia" w:ascii="宋体" w:hAnsi="宋体" w:eastAsia="宋体" w:cstheme="minorBidi"/>
          <w:color w:val="auto"/>
          <w:kern w:val="2"/>
          <w:szCs w:val="24"/>
          <w:highlight w:val="none"/>
          <w:lang w:val="en-US" w:eastAsia="zh-CN" w:bidi="ar-SA"/>
        </w:rPr>
        <w:t>商务要求</w:t>
      </w:r>
      <w:r>
        <w:rPr>
          <w:color w:val="auto"/>
          <w:highlight w:val="none"/>
        </w:rPr>
        <w:tab/>
      </w:r>
      <w:r>
        <w:rPr>
          <w:color w:val="auto"/>
          <w:highlight w:val="none"/>
        </w:rPr>
        <w:fldChar w:fldCharType="begin"/>
      </w:r>
      <w:r>
        <w:rPr>
          <w:color w:val="auto"/>
          <w:highlight w:val="none"/>
        </w:rPr>
        <w:instrText xml:space="preserve"> PAGEREF _Toc6259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_Toc24490 </w:instrText>
      </w:r>
      <w:r>
        <w:rPr>
          <w:color w:val="auto"/>
          <w:highlight w:val="none"/>
        </w:rPr>
        <w:fldChar w:fldCharType="separate"/>
      </w:r>
      <w:r>
        <w:rPr>
          <w:rFonts w:hint="eastAsia" w:ascii="宋体" w:hAnsi="宋体" w:eastAsia="宋体" w:cs="宋体"/>
          <w:color w:val="auto"/>
          <w:kern w:val="2"/>
          <w:szCs w:val="24"/>
          <w:highlight w:val="none"/>
          <w:lang w:val="en-US" w:eastAsia="zh-CN" w:bidi="ar-SA"/>
        </w:rPr>
        <w:t xml:space="preserve">六、 </w:t>
      </w:r>
      <w:r>
        <w:rPr>
          <w:rFonts w:hint="eastAsia" w:ascii="宋体" w:hAnsi="宋体" w:eastAsia="宋体" w:cstheme="minorBidi"/>
          <w:color w:val="auto"/>
          <w:kern w:val="2"/>
          <w:szCs w:val="24"/>
          <w:highlight w:val="none"/>
          <w:lang w:val="en-US" w:eastAsia="zh-CN" w:bidi="ar-SA"/>
        </w:rPr>
        <w:t>其他要求</w:t>
      </w:r>
      <w:r>
        <w:rPr>
          <w:color w:val="auto"/>
          <w:highlight w:val="none"/>
        </w:rPr>
        <w:tab/>
      </w:r>
      <w:r>
        <w:rPr>
          <w:color w:val="auto"/>
          <w:highlight w:val="none"/>
        </w:rPr>
        <w:fldChar w:fldCharType="begin"/>
      </w:r>
      <w:r>
        <w:rPr>
          <w:color w:val="auto"/>
          <w:highlight w:val="none"/>
        </w:rPr>
        <w:instrText xml:space="preserve"> PAGEREF _Toc24490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_Toc32659 </w:instrText>
      </w:r>
      <w:r>
        <w:rPr>
          <w:color w:val="auto"/>
          <w:highlight w:val="none"/>
        </w:rPr>
        <w:fldChar w:fldCharType="separate"/>
      </w:r>
      <w:r>
        <w:rPr>
          <w:rFonts w:hint="eastAsia" w:ascii="宋体" w:hAnsi="宋体" w:eastAsia="宋体" w:cs="宋体"/>
          <w:color w:val="auto"/>
          <w:highlight w:val="none"/>
        </w:rPr>
        <w:t xml:space="preserve">第七章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_Toc32659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_Toc32537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_Toc32537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_Toc25329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_Toc25329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_Toc20383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_Toc20383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_Toc17061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rPr>
        <w:t>评标细则及标准</w:t>
      </w:r>
      <w:r>
        <w:rPr>
          <w:color w:val="auto"/>
          <w:highlight w:val="none"/>
        </w:rPr>
        <w:tab/>
      </w:r>
      <w:r>
        <w:rPr>
          <w:color w:val="auto"/>
          <w:highlight w:val="none"/>
        </w:rPr>
        <w:fldChar w:fldCharType="begin"/>
      </w:r>
      <w:r>
        <w:rPr>
          <w:color w:val="auto"/>
          <w:highlight w:val="none"/>
        </w:rPr>
        <w:instrText xml:space="preserve"> PAGEREF _Toc17061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_Toc31054 </w:instrText>
      </w:r>
      <w:r>
        <w:rPr>
          <w:color w:val="auto"/>
          <w:highlight w:val="none"/>
        </w:rPr>
        <w:fldChar w:fldCharType="separate"/>
      </w:r>
      <w:r>
        <w:rPr>
          <w:rFonts w:hint="eastAsia" w:ascii="宋体" w:hAnsi="宋体" w:eastAsia="宋体" w:cs="宋体"/>
          <w:color w:val="auto"/>
          <w:highlight w:val="none"/>
          <w:lang w:val="en-US" w:eastAsia="zh-CN"/>
        </w:rPr>
        <w:t xml:space="preserve">五、 </w:t>
      </w:r>
      <w:r>
        <w:rPr>
          <w:rFonts w:hint="eastAsia"/>
          <w:color w:val="auto"/>
          <w:highlight w:val="none"/>
          <w:lang w:val="en-US" w:eastAsia="zh-CN"/>
        </w:rPr>
        <w:t>复核</w:t>
      </w:r>
      <w:r>
        <w:rPr>
          <w:color w:val="auto"/>
          <w:highlight w:val="none"/>
        </w:rPr>
        <w:tab/>
      </w:r>
      <w:r>
        <w:rPr>
          <w:color w:val="auto"/>
          <w:highlight w:val="none"/>
        </w:rPr>
        <w:fldChar w:fldCharType="begin"/>
      </w:r>
      <w:r>
        <w:rPr>
          <w:color w:val="auto"/>
          <w:highlight w:val="none"/>
        </w:rPr>
        <w:instrText xml:space="preserve"> PAGEREF _Toc31054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_Toc13653 </w:instrText>
      </w:r>
      <w:r>
        <w:rPr>
          <w:color w:val="auto"/>
          <w:highlight w:val="none"/>
        </w:rPr>
        <w:fldChar w:fldCharType="separate"/>
      </w:r>
      <w:r>
        <w:rPr>
          <w:rFonts w:hint="eastAsia" w:ascii="宋体" w:hAnsi="宋体" w:eastAsia="宋体" w:cs="宋体"/>
          <w:color w:val="auto"/>
          <w:highlight w:val="none"/>
          <w:lang w:val="en-US" w:eastAsia="zh-CN"/>
        </w:rPr>
        <w:t xml:space="preserve">六、 </w:t>
      </w:r>
      <w:r>
        <w:rPr>
          <w:rFonts w:hint="eastAsia"/>
          <w:color w:val="auto"/>
          <w:highlight w:val="none"/>
          <w:lang w:val="en-US" w:eastAsia="zh-CN"/>
        </w:rPr>
        <w:t>推荐中标候选供应商</w:t>
      </w:r>
      <w:r>
        <w:rPr>
          <w:color w:val="auto"/>
          <w:highlight w:val="none"/>
        </w:rPr>
        <w:tab/>
      </w:r>
      <w:r>
        <w:rPr>
          <w:color w:val="auto"/>
          <w:highlight w:val="none"/>
        </w:rPr>
        <w:fldChar w:fldCharType="begin"/>
      </w:r>
      <w:r>
        <w:rPr>
          <w:color w:val="auto"/>
          <w:highlight w:val="none"/>
        </w:rPr>
        <w:instrText xml:space="preserve"> PAGEREF _Toc13653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_Toc29611 </w:instrText>
      </w:r>
      <w:r>
        <w:rPr>
          <w:color w:val="auto"/>
          <w:highlight w:val="none"/>
        </w:rPr>
        <w:fldChar w:fldCharType="separate"/>
      </w:r>
      <w:r>
        <w:rPr>
          <w:rFonts w:hint="eastAsia" w:ascii="宋体" w:hAnsi="宋体" w:eastAsia="宋体" w:cs="宋体"/>
          <w:color w:val="auto"/>
          <w:highlight w:val="none"/>
          <w:lang w:val="en-US" w:eastAsia="zh-CN"/>
        </w:rPr>
        <w:t xml:space="preserve">七、 </w:t>
      </w:r>
      <w:r>
        <w:rPr>
          <w:rFonts w:hint="eastAsia"/>
          <w:color w:val="auto"/>
          <w:highlight w:val="none"/>
          <w:lang w:val="en-US" w:eastAsia="zh-CN"/>
        </w:rPr>
        <w:t>出具评标报告</w:t>
      </w:r>
      <w:r>
        <w:rPr>
          <w:color w:val="auto"/>
          <w:highlight w:val="none"/>
        </w:rPr>
        <w:tab/>
      </w:r>
      <w:r>
        <w:rPr>
          <w:color w:val="auto"/>
          <w:highlight w:val="none"/>
        </w:rPr>
        <w:fldChar w:fldCharType="begin"/>
      </w:r>
      <w:r>
        <w:rPr>
          <w:color w:val="auto"/>
          <w:highlight w:val="none"/>
        </w:rPr>
        <w:instrText xml:space="preserve"> PAGEREF _Toc29611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_Toc27162 </w:instrText>
      </w:r>
      <w:r>
        <w:rPr>
          <w:color w:val="auto"/>
          <w:highlight w:val="none"/>
        </w:rPr>
        <w:fldChar w:fldCharType="separate"/>
      </w:r>
      <w:r>
        <w:rPr>
          <w:rFonts w:hint="eastAsia" w:ascii="宋体" w:hAnsi="宋体" w:eastAsia="宋体" w:cs="宋体"/>
          <w:color w:val="auto"/>
          <w:highlight w:val="none"/>
        </w:rPr>
        <w:t xml:space="preserve">八、 </w:t>
      </w:r>
      <w:r>
        <w:rPr>
          <w:rFonts w:hint="eastAsia"/>
          <w:color w:val="auto"/>
          <w:highlight w:val="none"/>
        </w:rPr>
        <w:t>废标</w:t>
      </w:r>
      <w:r>
        <w:rPr>
          <w:color w:val="auto"/>
          <w:highlight w:val="none"/>
        </w:rPr>
        <w:tab/>
      </w:r>
      <w:r>
        <w:rPr>
          <w:color w:val="auto"/>
          <w:highlight w:val="none"/>
        </w:rPr>
        <w:fldChar w:fldCharType="begin"/>
      </w:r>
      <w:r>
        <w:rPr>
          <w:color w:val="auto"/>
          <w:highlight w:val="none"/>
        </w:rPr>
        <w:instrText xml:space="preserve"> PAGEREF _Toc27162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_Toc6250 </w:instrText>
      </w:r>
      <w:r>
        <w:rPr>
          <w:color w:val="auto"/>
          <w:highlight w:val="none"/>
        </w:rPr>
        <w:fldChar w:fldCharType="separate"/>
      </w:r>
      <w:r>
        <w:rPr>
          <w:rFonts w:hint="eastAsia" w:ascii="宋体" w:hAnsi="宋体" w:eastAsia="宋体" w:cs="宋体"/>
          <w:color w:val="auto"/>
          <w:highlight w:val="none"/>
        </w:rPr>
        <w:t xml:space="preserve">九、 </w:t>
      </w:r>
      <w:r>
        <w:rPr>
          <w:rFonts w:hint="eastAsia"/>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_Toc6250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_Toc9937 </w:instrText>
      </w:r>
      <w:r>
        <w:rPr>
          <w:color w:val="auto"/>
          <w:highlight w:val="none"/>
        </w:rPr>
        <w:fldChar w:fldCharType="separate"/>
      </w:r>
      <w:r>
        <w:rPr>
          <w:rFonts w:hint="eastAsia" w:ascii="宋体" w:hAnsi="宋体" w:eastAsia="宋体" w:cs="宋体"/>
          <w:color w:val="auto"/>
          <w:highlight w:val="none"/>
        </w:rPr>
        <w:t xml:space="preserve">十、 </w:t>
      </w:r>
      <w:r>
        <w:rPr>
          <w:rFonts w:hint="eastAsia"/>
          <w:color w:val="auto"/>
          <w:highlight w:val="none"/>
          <w:lang w:eastAsia="zh-CN"/>
        </w:rPr>
        <w:t>评标专家</w:t>
      </w:r>
      <w:r>
        <w:rPr>
          <w:rFonts w:hint="eastAsia"/>
          <w:color w:val="auto"/>
          <w:highlight w:val="none"/>
        </w:rPr>
        <w:t>在政府采购活动中承担以下义务</w:t>
      </w:r>
      <w:r>
        <w:rPr>
          <w:color w:val="auto"/>
          <w:highlight w:val="none"/>
        </w:rPr>
        <w:tab/>
      </w:r>
      <w:r>
        <w:rPr>
          <w:color w:val="auto"/>
          <w:highlight w:val="none"/>
        </w:rPr>
        <w:fldChar w:fldCharType="begin"/>
      </w:r>
      <w:r>
        <w:rPr>
          <w:color w:val="auto"/>
          <w:highlight w:val="none"/>
        </w:rPr>
        <w:instrText xml:space="preserve"> PAGEREF _Toc9937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_Toc1288 </w:instrText>
      </w:r>
      <w:r>
        <w:rPr>
          <w:color w:val="auto"/>
          <w:highlight w:val="none"/>
        </w:rPr>
        <w:fldChar w:fldCharType="separate"/>
      </w:r>
      <w:r>
        <w:rPr>
          <w:rFonts w:hint="eastAsia" w:ascii="宋体" w:hAnsi="宋体" w:eastAsia="宋体" w:cs="宋体"/>
          <w:color w:val="auto"/>
          <w:highlight w:val="none"/>
        </w:rPr>
        <w:t xml:space="preserve">十一、 </w:t>
      </w:r>
      <w:r>
        <w:rPr>
          <w:rFonts w:hint="eastAsia"/>
          <w:color w:val="auto"/>
          <w:highlight w:val="none"/>
          <w:lang w:eastAsia="zh-CN"/>
        </w:rPr>
        <w:t>评标专家</w:t>
      </w:r>
      <w:r>
        <w:rPr>
          <w:rFonts w:hint="eastAsia"/>
          <w:color w:val="auto"/>
          <w:highlight w:val="none"/>
        </w:rPr>
        <w:t>在政府采购活动中应当遵守以下工作纪律</w:t>
      </w:r>
      <w:r>
        <w:rPr>
          <w:color w:val="auto"/>
          <w:highlight w:val="none"/>
        </w:rPr>
        <w:tab/>
      </w:r>
      <w:r>
        <w:rPr>
          <w:color w:val="auto"/>
          <w:highlight w:val="none"/>
        </w:rPr>
        <w:fldChar w:fldCharType="begin"/>
      </w:r>
      <w:r>
        <w:rPr>
          <w:color w:val="auto"/>
          <w:highlight w:val="none"/>
        </w:rPr>
        <w:instrText xml:space="preserve"> PAGEREF _Toc1288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_Toc3535 </w:instrText>
      </w:r>
      <w:r>
        <w:rPr>
          <w:color w:val="auto"/>
          <w:highlight w:val="none"/>
        </w:rPr>
        <w:fldChar w:fldCharType="separate"/>
      </w:r>
      <w:r>
        <w:rPr>
          <w:rFonts w:hint="eastAsia" w:ascii="宋体" w:hAnsi="宋体" w:eastAsia="宋体" w:cs="宋体"/>
          <w:color w:val="auto"/>
          <w:highlight w:val="none"/>
        </w:rPr>
        <w:t xml:space="preserve">十二、 </w:t>
      </w:r>
      <w:r>
        <w:rPr>
          <w:rFonts w:hint="eastAsia"/>
          <w:color w:val="auto"/>
          <w:highlight w:val="none"/>
        </w:rPr>
        <w:t>评标委员会及其成员不得有下列行为</w:t>
      </w:r>
      <w:r>
        <w:rPr>
          <w:color w:val="auto"/>
          <w:highlight w:val="none"/>
        </w:rPr>
        <w:tab/>
      </w:r>
      <w:r>
        <w:rPr>
          <w:color w:val="auto"/>
          <w:highlight w:val="none"/>
        </w:rPr>
        <w:fldChar w:fldCharType="begin"/>
      </w:r>
      <w:r>
        <w:rPr>
          <w:color w:val="auto"/>
          <w:highlight w:val="none"/>
        </w:rPr>
        <w:instrText xml:space="preserve"> PAGEREF _Toc3535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_Toc2598 </w:instrText>
      </w:r>
      <w:r>
        <w:rPr>
          <w:color w:val="auto"/>
          <w:highlight w:val="none"/>
        </w:rPr>
        <w:fldChar w:fldCharType="separate"/>
      </w:r>
      <w:r>
        <w:rPr>
          <w:rFonts w:hint="eastAsia" w:ascii="宋体" w:hAnsi="宋体" w:eastAsia="宋体" w:cs="宋体"/>
          <w:color w:val="auto"/>
          <w:highlight w:val="none"/>
        </w:rPr>
        <w:t xml:space="preserve">十三、 </w:t>
      </w:r>
      <w:r>
        <w:rPr>
          <w:rFonts w:hint="eastAsia"/>
          <w:color w:val="auto"/>
          <w:highlight w:val="none"/>
          <w:lang w:val="en-US" w:eastAsia="zh-CN"/>
        </w:rPr>
        <w:t>评标委员会及其成员不得有下列违约情形</w:t>
      </w:r>
      <w:r>
        <w:rPr>
          <w:color w:val="auto"/>
          <w:highlight w:val="none"/>
        </w:rPr>
        <w:tab/>
      </w:r>
      <w:r>
        <w:rPr>
          <w:color w:val="auto"/>
          <w:highlight w:val="none"/>
        </w:rPr>
        <w:fldChar w:fldCharType="begin"/>
      </w:r>
      <w:r>
        <w:rPr>
          <w:color w:val="auto"/>
          <w:highlight w:val="none"/>
        </w:rPr>
        <w:instrText xml:space="preserve"> PAGEREF _Toc2598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_Toc3659 </w:instrText>
      </w:r>
      <w:r>
        <w:rPr>
          <w:color w:val="auto"/>
          <w:highlight w:val="none"/>
        </w:rPr>
        <w:fldChar w:fldCharType="separate"/>
      </w:r>
      <w:r>
        <w:rPr>
          <w:rFonts w:hint="eastAsia" w:ascii="宋体" w:hAnsi="宋体" w:eastAsia="宋体" w:cs="宋体"/>
          <w:color w:val="auto"/>
          <w:highlight w:val="none"/>
        </w:rPr>
        <w:t xml:space="preserve">第八章 </w:t>
      </w:r>
      <w:r>
        <w:rPr>
          <w:rFonts w:hint="eastAsia"/>
          <w:color w:val="auto"/>
          <w:highlight w:val="none"/>
        </w:rPr>
        <w:t>政府采购合同</w:t>
      </w:r>
      <w:r>
        <w:rPr>
          <w:rFonts w:hint="eastAsia"/>
          <w:color w:val="auto"/>
          <w:highlight w:val="none"/>
          <w:lang w:val="en-US" w:eastAsia="zh-CN"/>
        </w:rPr>
        <w:t>(参考文本)</w:t>
      </w:r>
      <w:r>
        <w:rPr>
          <w:color w:val="auto"/>
          <w:highlight w:val="none"/>
        </w:rPr>
        <w:tab/>
      </w:r>
      <w:r>
        <w:rPr>
          <w:color w:val="auto"/>
          <w:highlight w:val="none"/>
        </w:rPr>
        <w:fldChar w:fldCharType="begin"/>
      </w:r>
      <w:r>
        <w:rPr>
          <w:color w:val="auto"/>
          <w:highlight w:val="none"/>
        </w:rPr>
        <w:instrText xml:space="preserve"> PAGEREF _Toc3659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_Toc7893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一、 合同标的</w:t>
      </w:r>
      <w:r>
        <w:rPr>
          <w:color w:val="auto"/>
          <w:highlight w:val="none"/>
        </w:rPr>
        <w:tab/>
      </w:r>
      <w:r>
        <w:rPr>
          <w:color w:val="auto"/>
          <w:highlight w:val="none"/>
        </w:rPr>
        <w:fldChar w:fldCharType="begin"/>
      </w:r>
      <w:r>
        <w:rPr>
          <w:color w:val="auto"/>
          <w:highlight w:val="none"/>
        </w:rPr>
        <w:instrText xml:space="preserve"> PAGEREF _Toc7893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_Toc15609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二、 合同价款</w:t>
      </w:r>
      <w:r>
        <w:rPr>
          <w:color w:val="auto"/>
          <w:highlight w:val="none"/>
        </w:rPr>
        <w:tab/>
      </w:r>
      <w:r>
        <w:rPr>
          <w:color w:val="auto"/>
          <w:highlight w:val="none"/>
        </w:rPr>
        <w:fldChar w:fldCharType="begin"/>
      </w:r>
      <w:r>
        <w:rPr>
          <w:color w:val="auto"/>
          <w:highlight w:val="none"/>
        </w:rPr>
        <w:instrText xml:space="preserve"> PAGEREF _Toc15609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_Toc16183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三、 包装、运输、质量要求</w:t>
      </w:r>
      <w:r>
        <w:rPr>
          <w:color w:val="auto"/>
          <w:highlight w:val="none"/>
        </w:rPr>
        <w:tab/>
      </w:r>
      <w:r>
        <w:rPr>
          <w:color w:val="auto"/>
          <w:highlight w:val="none"/>
        </w:rPr>
        <w:fldChar w:fldCharType="begin"/>
      </w:r>
      <w:r>
        <w:rPr>
          <w:color w:val="auto"/>
          <w:highlight w:val="none"/>
        </w:rPr>
        <w:instrText xml:space="preserve"> PAGEREF _Toc16183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_Toc32432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四、 安装调试要求</w:t>
      </w:r>
      <w:r>
        <w:rPr>
          <w:color w:val="auto"/>
          <w:highlight w:val="none"/>
        </w:rPr>
        <w:tab/>
      </w:r>
      <w:r>
        <w:rPr>
          <w:color w:val="auto"/>
          <w:highlight w:val="none"/>
        </w:rPr>
        <w:fldChar w:fldCharType="begin"/>
      </w:r>
      <w:r>
        <w:rPr>
          <w:color w:val="auto"/>
          <w:highlight w:val="none"/>
        </w:rPr>
        <w:instrText xml:space="preserve"> PAGEREF _Toc32432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_Toc6425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五、 履行期限及地点和方式、验收</w:t>
      </w:r>
      <w:r>
        <w:rPr>
          <w:color w:val="auto"/>
          <w:highlight w:val="none"/>
        </w:rPr>
        <w:tab/>
      </w:r>
      <w:r>
        <w:rPr>
          <w:color w:val="auto"/>
          <w:highlight w:val="none"/>
        </w:rPr>
        <w:fldChar w:fldCharType="begin"/>
      </w:r>
      <w:r>
        <w:rPr>
          <w:color w:val="auto"/>
          <w:highlight w:val="none"/>
        </w:rPr>
        <w:instrText xml:space="preserve"> PAGEREF _Toc6425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_Toc32019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六、 履约保证金：</w:t>
      </w:r>
      <w:r>
        <w:rPr>
          <w:color w:val="auto"/>
          <w:highlight w:val="none"/>
        </w:rPr>
        <w:tab/>
      </w:r>
      <w:r>
        <w:rPr>
          <w:color w:val="auto"/>
          <w:highlight w:val="none"/>
        </w:rPr>
        <w:fldChar w:fldCharType="begin"/>
      </w:r>
      <w:r>
        <w:rPr>
          <w:color w:val="auto"/>
          <w:highlight w:val="none"/>
        </w:rPr>
        <w:instrText xml:space="preserve"> PAGEREF _Toc32019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_Toc15990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七、 付款方式</w:t>
      </w:r>
      <w:r>
        <w:rPr>
          <w:color w:val="auto"/>
          <w:highlight w:val="none"/>
        </w:rPr>
        <w:tab/>
      </w:r>
      <w:r>
        <w:rPr>
          <w:color w:val="auto"/>
          <w:highlight w:val="none"/>
        </w:rPr>
        <w:fldChar w:fldCharType="begin"/>
      </w:r>
      <w:r>
        <w:rPr>
          <w:color w:val="auto"/>
          <w:highlight w:val="none"/>
        </w:rPr>
        <w:instrText xml:space="preserve"> PAGEREF _Toc15990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_Toc23947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八、 售后服务</w:t>
      </w:r>
      <w:r>
        <w:rPr>
          <w:color w:val="auto"/>
          <w:highlight w:val="none"/>
        </w:rPr>
        <w:tab/>
      </w:r>
      <w:r>
        <w:rPr>
          <w:color w:val="auto"/>
          <w:highlight w:val="none"/>
        </w:rPr>
        <w:fldChar w:fldCharType="begin"/>
      </w:r>
      <w:r>
        <w:rPr>
          <w:color w:val="auto"/>
          <w:highlight w:val="none"/>
        </w:rPr>
        <w:instrText xml:space="preserve"> PAGEREF _Toc23947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_Toc5381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九、 违约责任</w:t>
      </w:r>
      <w:r>
        <w:rPr>
          <w:color w:val="auto"/>
          <w:highlight w:val="none"/>
        </w:rPr>
        <w:tab/>
      </w:r>
      <w:r>
        <w:rPr>
          <w:color w:val="auto"/>
          <w:highlight w:val="none"/>
        </w:rPr>
        <w:fldChar w:fldCharType="begin"/>
      </w:r>
      <w:r>
        <w:rPr>
          <w:color w:val="auto"/>
          <w:highlight w:val="none"/>
        </w:rPr>
        <w:instrText xml:space="preserve"> PAGEREF _Toc5381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_Toc13595 </w:instrText>
      </w:r>
      <w:r>
        <w:rPr>
          <w:color w:val="auto"/>
          <w:highlight w:val="none"/>
        </w:rPr>
        <w:fldChar w:fldCharType="separate"/>
      </w:r>
      <w:r>
        <w:rPr>
          <w:rFonts w:hint="eastAsia" w:ascii="宋体" w:hAnsi="宋体" w:eastAsia="宋体" w:cs="宋体"/>
          <w:color w:val="auto"/>
          <w:highlight w:val="none"/>
        </w:rPr>
        <w:t xml:space="preserve">十、 </w:t>
      </w:r>
      <w:r>
        <w:rPr>
          <w:rFonts w:hint="eastAsia"/>
          <w:color w:val="auto"/>
          <w:highlight w:val="none"/>
        </w:rPr>
        <w:t>甲方的权利和义务</w:t>
      </w:r>
      <w:r>
        <w:rPr>
          <w:color w:val="auto"/>
          <w:highlight w:val="none"/>
        </w:rPr>
        <w:tab/>
      </w:r>
      <w:r>
        <w:rPr>
          <w:color w:val="auto"/>
          <w:highlight w:val="none"/>
        </w:rPr>
        <w:fldChar w:fldCharType="begin"/>
      </w:r>
      <w:r>
        <w:rPr>
          <w:color w:val="auto"/>
          <w:highlight w:val="none"/>
        </w:rPr>
        <w:instrText xml:space="preserve"> PAGEREF _Toc13595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_Toc13118 </w:instrText>
      </w:r>
      <w:r>
        <w:rPr>
          <w:color w:val="auto"/>
          <w:highlight w:val="none"/>
        </w:rPr>
        <w:fldChar w:fldCharType="separate"/>
      </w:r>
      <w:r>
        <w:rPr>
          <w:rFonts w:hint="eastAsia" w:ascii="宋体" w:hAnsi="宋体" w:eastAsia="宋体" w:cs="宋体"/>
          <w:color w:val="auto"/>
          <w:highlight w:val="none"/>
        </w:rPr>
        <w:t xml:space="preserve">十一、 </w:t>
      </w:r>
      <w:r>
        <w:rPr>
          <w:rFonts w:hint="eastAsia"/>
          <w:color w:val="auto"/>
          <w:highlight w:val="none"/>
        </w:rPr>
        <w:t>乙方的权利和义务</w:t>
      </w:r>
      <w:r>
        <w:rPr>
          <w:color w:val="auto"/>
          <w:highlight w:val="none"/>
        </w:rPr>
        <w:tab/>
      </w:r>
      <w:r>
        <w:rPr>
          <w:color w:val="auto"/>
          <w:highlight w:val="none"/>
        </w:rPr>
        <w:fldChar w:fldCharType="begin"/>
      </w:r>
      <w:r>
        <w:rPr>
          <w:color w:val="auto"/>
          <w:highlight w:val="none"/>
        </w:rPr>
        <w:instrText xml:space="preserve"> PAGEREF _Toc13118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_Toc18390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十二、 争议解决的方法</w:t>
      </w:r>
      <w:r>
        <w:rPr>
          <w:color w:val="auto"/>
          <w:highlight w:val="none"/>
        </w:rPr>
        <w:tab/>
      </w:r>
      <w:r>
        <w:rPr>
          <w:color w:val="auto"/>
          <w:highlight w:val="none"/>
        </w:rPr>
        <w:fldChar w:fldCharType="begin"/>
      </w:r>
      <w:r>
        <w:rPr>
          <w:color w:val="auto"/>
          <w:highlight w:val="none"/>
        </w:rPr>
        <w:instrText xml:space="preserve"> PAGEREF _Toc18390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_Toc7801 </w:instrText>
      </w:r>
      <w:r>
        <w:rPr>
          <w:color w:val="auto"/>
          <w:highlight w:val="none"/>
        </w:rPr>
        <w:fldChar w:fldCharType="separate"/>
      </w:r>
      <w:r>
        <w:rPr>
          <w:rFonts w:hint="eastAsia" w:ascii="宋体" w:hAnsi="宋体" w:eastAsia="宋体" w:cs="宋体"/>
          <w:bCs w:val="0"/>
          <w:color w:val="auto"/>
          <w:kern w:val="2"/>
          <w:szCs w:val="24"/>
          <w:highlight w:val="none"/>
          <w:lang w:val="en-US" w:eastAsia="zh-CN" w:bidi="ar-SA"/>
        </w:rPr>
        <w:t>十三、 合同的变更和终止</w:t>
      </w:r>
      <w:r>
        <w:rPr>
          <w:color w:val="auto"/>
          <w:highlight w:val="none"/>
        </w:rPr>
        <w:tab/>
      </w:r>
      <w:r>
        <w:rPr>
          <w:color w:val="auto"/>
          <w:highlight w:val="none"/>
        </w:rPr>
        <w:fldChar w:fldCharType="begin"/>
      </w:r>
      <w:r>
        <w:rPr>
          <w:color w:val="auto"/>
          <w:highlight w:val="none"/>
        </w:rPr>
        <w:instrText xml:space="preserve"> PAGEREF _Toc7801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_Toc22781 </w:instrText>
      </w:r>
      <w:r>
        <w:rPr>
          <w:color w:val="auto"/>
          <w:highlight w:val="none"/>
        </w:rPr>
        <w:fldChar w:fldCharType="separate"/>
      </w:r>
      <w:r>
        <w:rPr>
          <w:rFonts w:hint="eastAsia" w:ascii="宋体" w:hAnsi="宋体" w:eastAsia="宋体" w:cs="宋体"/>
          <w:bCs w:val="0"/>
          <w:color w:val="auto"/>
          <w:kern w:val="2"/>
          <w:szCs w:val="24"/>
          <w:highlight w:val="none"/>
          <w:lang w:val="en-US" w:eastAsia="zh-CN" w:bidi="ar-SA"/>
        </w:rPr>
        <w:t>十四、 合同的转让</w:t>
      </w:r>
      <w:r>
        <w:rPr>
          <w:color w:val="auto"/>
          <w:highlight w:val="none"/>
        </w:rPr>
        <w:tab/>
      </w:r>
      <w:r>
        <w:rPr>
          <w:color w:val="auto"/>
          <w:highlight w:val="none"/>
        </w:rPr>
        <w:fldChar w:fldCharType="begin"/>
      </w:r>
      <w:r>
        <w:rPr>
          <w:color w:val="auto"/>
          <w:highlight w:val="none"/>
        </w:rPr>
        <w:instrText xml:space="preserve"> PAGEREF _Toc22781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_Toc15125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十五、 其他商务要求</w:t>
      </w:r>
      <w:r>
        <w:rPr>
          <w:color w:val="auto"/>
          <w:highlight w:val="none"/>
        </w:rPr>
        <w:tab/>
      </w:r>
      <w:r>
        <w:rPr>
          <w:color w:val="auto"/>
          <w:highlight w:val="none"/>
        </w:rPr>
        <w:fldChar w:fldCharType="begin"/>
      </w:r>
      <w:r>
        <w:rPr>
          <w:color w:val="auto"/>
          <w:highlight w:val="none"/>
        </w:rPr>
        <w:instrText xml:space="preserve"> PAGEREF _Toc15125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_Toc1738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十六、 合同生效及其它</w:t>
      </w:r>
      <w:r>
        <w:rPr>
          <w:color w:val="auto"/>
          <w:highlight w:val="none"/>
        </w:rPr>
        <w:tab/>
      </w:r>
      <w:r>
        <w:rPr>
          <w:color w:val="auto"/>
          <w:highlight w:val="none"/>
        </w:rPr>
        <w:fldChar w:fldCharType="begin"/>
      </w:r>
      <w:r>
        <w:rPr>
          <w:color w:val="auto"/>
          <w:highlight w:val="none"/>
        </w:rPr>
        <w:instrText xml:space="preserve"> PAGEREF _Toc1738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16"/>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_Toc26960 </w:instrText>
      </w:r>
      <w:r>
        <w:rPr>
          <w:color w:val="auto"/>
          <w:highlight w:val="none"/>
        </w:rPr>
        <w:fldChar w:fldCharType="separate"/>
      </w:r>
      <w:r>
        <w:rPr>
          <w:rFonts w:hint="eastAsia" w:ascii="宋体" w:hAnsi="宋体" w:eastAsia="宋体" w:cs="宋体"/>
          <w:bCs/>
          <w:color w:val="auto"/>
          <w:kern w:val="2"/>
          <w:szCs w:val="24"/>
          <w:highlight w:val="none"/>
          <w:lang w:val="en-US" w:eastAsia="zh-CN" w:bidi="ar-SA"/>
        </w:rPr>
        <w:t>十七、 组成本合同的有关附件</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15"/>
        <w:tabs>
          <w:tab w:val="clear" w:pos="0"/>
        </w:tabs>
        <w:rPr>
          <w:color w:val="auto"/>
          <w:highlight w:val="none"/>
        </w:rPr>
      </w:pPr>
      <w:r>
        <w:rPr>
          <w:color w:val="auto"/>
          <w:highlight w:val="none"/>
        </w:rPr>
        <w:fldChar w:fldCharType="begin"/>
      </w:r>
      <w:r>
        <w:rPr>
          <w:color w:val="auto"/>
          <w:highlight w:val="none"/>
        </w:rPr>
        <w:instrText xml:space="preserve"> HYPERLINK \l _Toc13967 </w:instrText>
      </w:r>
      <w:r>
        <w:rPr>
          <w:color w:val="auto"/>
          <w:highlight w:val="none"/>
        </w:rPr>
        <w:fldChar w:fldCharType="separate"/>
      </w:r>
      <w:r>
        <w:rPr>
          <w:rFonts w:hint="eastAsia" w:ascii="宋体" w:hAnsi="宋体" w:eastAsia="宋体" w:cs="宋体"/>
          <w:color w:val="auto"/>
          <w:highlight w:val="none"/>
          <w:lang w:val="en-US" w:eastAsia="zh-CN"/>
        </w:rPr>
        <w:t xml:space="preserve">第九章 </w:t>
      </w:r>
      <w:r>
        <w:rPr>
          <w:rFonts w:hint="eastAsia"/>
          <w:color w:val="auto"/>
          <w:highlight w:val="none"/>
          <w:lang w:val="en-US" w:eastAsia="zh-CN"/>
        </w:rPr>
        <w:t>附件</w:t>
      </w:r>
      <w:r>
        <w:rPr>
          <w:color w:val="auto"/>
          <w:highlight w:val="none"/>
        </w:rPr>
        <w:tab/>
      </w:r>
      <w:r>
        <w:rPr>
          <w:color w:val="auto"/>
          <w:highlight w:val="none"/>
        </w:rPr>
        <w:fldChar w:fldCharType="begin"/>
      </w:r>
      <w:r>
        <w:rPr>
          <w:color w:val="auto"/>
          <w:highlight w:val="none"/>
        </w:rPr>
        <w:instrText xml:space="preserve"> PAGEREF _Toc13967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pStyle w:val="24"/>
        <w:bidi w:val="0"/>
        <w:rPr>
          <w:rFonts w:hint="eastAsia"/>
          <w:color w:val="auto"/>
          <w:highlight w:val="none"/>
        </w:rPr>
      </w:pPr>
      <w:r>
        <w:rPr>
          <w:rFonts w:hint="eastAsia"/>
          <w:color w:val="auto"/>
          <w:highlight w:val="none"/>
        </w:rPr>
        <w:br w:type="page"/>
      </w:r>
      <w:bookmarkEnd w:id="2"/>
      <w:bookmarkEnd w:id="9"/>
      <w:bookmarkEnd w:id="10"/>
      <w:bookmarkStart w:id="12" w:name="_Toc9731"/>
      <w:bookmarkStart w:id="13" w:name="_Toc11328"/>
      <w:bookmarkStart w:id="14" w:name="_Toc213496267"/>
      <w:bookmarkStart w:id="15" w:name="_Toc213396759"/>
      <w:bookmarkStart w:id="16" w:name="_Toc213396945"/>
      <w:bookmarkStart w:id="17" w:name="_Toc213397009"/>
      <w:bookmarkStart w:id="18" w:name="_Toc217446031"/>
      <w:r>
        <w:rPr>
          <w:rFonts w:hint="eastAsia"/>
          <w:color w:val="auto"/>
          <w:highlight w:val="none"/>
        </w:rPr>
        <w:t>投标邀请</w:t>
      </w:r>
      <w:bookmarkEnd w:id="11"/>
      <w:bookmarkEnd w:id="12"/>
      <w:bookmarkEnd w:id="13"/>
    </w:p>
    <w:p>
      <w:pPr>
        <w:pStyle w:val="29"/>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val="zh-CN"/>
        </w:rPr>
        <w:t>四川乾新招投标代理有限公司</w:t>
      </w:r>
      <w:r>
        <w:rPr>
          <w:rFonts w:hint="eastAsia"/>
          <w:color w:val="auto"/>
          <w:highlight w:val="none"/>
        </w:rPr>
        <w:t>受</w:t>
      </w:r>
      <w:r>
        <w:rPr>
          <w:rFonts w:hint="eastAsia"/>
          <w:color w:val="auto"/>
          <w:highlight w:val="none"/>
          <w:lang w:val="en-US" w:eastAsia="zh-CN"/>
        </w:rPr>
        <w:t>成都市技师学院</w:t>
      </w:r>
      <w:r>
        <w:rPr>
          <w:rFonts w:hint="eastAsia"/>
          <w:color w:val="auto"/>
          <w:highlight w:val="none"/>
        </w:rPr>
        <w:t>的委托，拟对</w:t>
      </w:r>
      <w:r>
        <w:rPr>
          <w:rFonts w:hint="eastAsia"/>
          <w:color w:val="auto"/>
          <w:highlight w:val="none"/>
          <w:lang w:val="en-US" w:eastAsia="zh-CN"/>
        </w:rPr>
        <w:t>成都市技师学院(成都工贸职业技术学院)BIM技术综合实训室设备采购项目</w:t>
      </w:r>
      <w:r>
        <w:rPr>
          <w:rFonts w:hint="eastAsia"/>
          <w:color w:val="auto"/>
          <w:highlight w:val="none"/>
        </w:rPr>
        <w:t>进行国内公开招标，兹邀请符合本次招标要求的供应商参加投标。</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color w:val="auto"/>
          <w:highlight w:val="none"/>
        </w:rPr>
      </w:pPr>
      <w:r>
        <w:rPr>
          <w:rFonts w:hint="eastAsia"/>
          <w:b/>
          <w:bCs/>
          <w:color w:val="auto"/>
          <w:highlight w:val="none"/>
        </w:rPr>
        <w:t>项目编号：510101202100449</w:t>
      </w:r>
      <w:r>
        <w:rPr>
          <w:rFonts w:hint="eastAsia"/>
          <w:color w:val="auto"/>
          <w:highlight w:val="none"/>
        </w:rPr>
        <w:t xml:space="preserve">          </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color w:val="auto"/>
          <w:highlight w:val="none"/>
        </w:rPr>
      </w:pPr>
      <w:r>
        <w:rPr>
          <w:rFonts w:hint="eastAsia"/>
          <w:b/>
          <w:bCs/>
          <w:color w:val="auto"/>
          <w:highlight w:val="none"/>
        </w:rPr>
        <w:t>项目名称：</w:t>
      </w:r>
      <w:r>
        <w:rPr>
          <w:rFonts w:hint="eastAsia"/>
          <w:b/>
          <w:bCs/>
          <w:color w:val="auto"/>
          <w:spacing w:val="-6"/>
          <w:sz w:val="24"/>
          <w:highlight w:val="none"/>
          <w:lang w:val="en-US" w:eastAsia="zh-CN"/>
        </w:rPr>
        <w:t>成都市技师学院(成都工贸职业技术学院)BIM技术综合实训室设备采购项目</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color w:val="auto"/>
          <w:highlight w:val="none"/>
        </w:rPr>
      </w:pPr>
      <w:r>
        <w:rPr>
          <w:rFonts w:hint="eastAsia"/>
          <w:b/>
          <w:bCs/>
          <w:color w:val="auto"/>
          <w:highlight w:val="none"/>
          <w:lang w:val="en-US" w:eastAsia="zh-CN"/>
        </w:rPr>
        <w:t>资金来源</w:t>
      </w:r>
      <w:r>
        <w:rPr>
          <w:rFonts w:hint="eastAsia"/>
          <w:b/>
          <w:bCs/>
          <w:color w:val="auto"/>
          <w:highlight w:val="none"/>
        </w:rPr>
        <w:t>：根据</w:t>
      </w:r>
      <w:r>
        <w:rPr>
          <w:rFonts w:hint="eastAsia"/>
          <w:b/>
          <w:bCs/>
          <w:color w:val="auto"/>
          <w:highlight w:val="none"/>
          <w:lang w:val="en-US" w:eastAsia="zh-CN"/>
        </w:rPr>
        <w:t>成都市</w:t>
      </w:r>
      <w:r>
        <w:rPr>
          <w:rFonts w:hint="eastAsia"/>
          <w:b/>
          <w:bCs/>
          <w:color w:val="auto"/>
          <w:highlight w:val="none"/>
        </w:rPr>
        <w:t>财政局下达的《</w:t>
      </w:r>
      <w:r>
        <w:rPr>
          <w:rFonts w:hint="eastAsia"/>
          <w:b/>
          <w:bCs/>
          <w:color w:val="auto"/>
          <w:highlight w:val="none"/>
          <w:lang w:val="en-US" w:eastAsia="zh-CN"/>
        </w:rPr>
        <w:t>成都市市级</w:t>
      </w:r>
      <w:r>
        <w:rPr>
          <w:rFonts w:hint="eastAsia"/>
          <w:b/>
          <w:bCs/>
          <w:color w:val="auto"/>
          <w:highlight w:val="none"/>
        </w:rPr>
        <w:t>政府采购实施计划备案表》</w:t>
      </w:r>
      <w:r>
        <w:rPr>
          <w:rFonts w:hint="eastAsia"/>
          <w:b/>
          <w:bCs/>
          <w:color w:val="auto"/>
          <w:highlight w:val="none"/>
          <w:lang w:eastAsia="zh-CN"/>
        </w:rPr>
        <w:t>(</w:t>
      </w:r>
      <w:r>
        <w:rPr>
          <w:rFonts w:hint="eastAsia"/>
          <w:b/>
          <w:bCs/>
          <w:color w:val="auto"/>
          <w:highlight w:val="none"/>
        </w:rPr>
        <w:t>备案号</w:t>
      </w:r>
      <w:r>
        <w:rPr>
          <w:rFonts w:hint="eastAsia"/>
          <w:b/>
          <w:bCs/>
          <w:color w:val="auto"/>
          <w:highlight w:val="none"/>
          <w:lang w:val="en-US" w:eastAsia="zh-CN"/>
        </w:rPr>
        <w:t>:</w:t>
      </w:r>
      <w:r>
        <w:rPr>
          <w:rFonts w:hint="eastAsia"/>
          <w:b/>
          <w:bCs/>
          <w:color w:val="auto"/>
          <w:highlight w:val="none"/>
        </w:rPr>
        <w:t>〔</w:t>
      </w:r>
      <w:r>
        <w:rPr>
          <w:rFonts w:hint="eastAsia"/>
          <w:b/>
          <w:bCs/>
          <w:color w:val="auto"/>
          <w:highlight w:val="none"/>
          <w:lang w:val="en-US" w:eastAsia="zh-CN"/>
        </w:rPr>
        <w:t>2021</w:t>
      </w:r>
      <w:r>
        <w:rPr>
          <w:rFonts w:hint="eastAsia"/>
          <w:b/>
          <w:bCs/>
          <w:color w:val="auto"/>
          <w:highlight w:val="none"/>
        </w:rPr>
        <w:t>〕</w:t>
      </w:r>
      <w:r>
        <w:rPr>
          <w:rFonts w:hint="eastAsia"/>
          <w:b/>
          <w:bCs/>
          <w:color w:val="auto"/>
          <w:highlight w:val="none"/>
          <w:lang w:val="en-US" w:eastAsia="zh-CN"/>
        </w:rPr>
        <w:t xml:space="preserve">1420 </w:t>
      </w:r>
      <w:r>
        <w:rPr>
          <w:rFonts w:hint="eastAsia"/>
          <w:b/>
          <w:bCs/>
          <w:color w:val="auto"/>
          <w:highlight w:val="none"/>
        </w:rPr>
        <w:t>号</w:t>
      </w:r>
      <w:r>
        <w:rPr>
          <w:rFonts w:hint="eastAsia"/>
          <w:b/>
          <w:bCs/>
          <w:color w:val="auto"/>
          <w:highlight w:val="none"/>
          <w:lang w:eastAsia="zh-CN"/>
        </w:rPr>
        <w:t>)</w:t>
      </w:r>
      <w:r>
        <w:rPr>
          <w:rFonts w:hint="eastAsia"/>
          <w:b/>
          <w:bCs/>
          <w:color w:val="auto"/>
          <w:highlight w:val="none"/>
        </w:rPr>
        <w:t>，该项目预算资金为</w:t>
      </w:r>
      <w:r>
        <w:rPr>
          <w:rFonts w:hint="eastAsia"/>
          <w:b/>
          <w:bCs/>
          <w:color w:val="auto"/>
          <w:highlight w:val="none"/>
          <w:lang w:val="en-US" w:eastAsia="zh-CN"/>
        </w:rPr>
        <w:t>人民币131.5万</w:t>
      </w:r>
      <w:r>
        <w:rPr>
          <w:rFonts w:hint="eastAsia"/>
          <w:b/>
          <w:bCs/>
          <w:color w:val="auto"/>
          <w:highlight w:val="none"/>
        </w:rPr>
        <w:t>元。</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招标项目简介：</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rPr>
      </w:pPr>
      <w:r>
        <w:rPr>
          <w:rFonts w:hint="eastAsia"/>
          <w:b/>
          <w:bCs/>
          <w:color w:val="auto"/>
          <w:highlight w:val="none"/>
          <w:lang w:val="en-US" w:eastAsia="zh-CN"/>
        </w:rPr>
        <w:t>(一)采购内容：</w:t>
      </w:r>
      <w:r>
        <w:rPr>
          <w:rFonts w:hint="eastAsia"/>
          <w:b w:val="0"/>
          <w:bCs w:val="0"/>
          <w:color w:val="auto"/>
          <w:highlight w:val="none"/>
          <w:lang w:val="en-US" w:eastAsia="zh-CN"/>
        </w:rPr>
        <w:t>BIM技术综合实训室设备一批</w:t>
      </w:r>
      <w:r>
        <w:rPr>
          <w:rFonts w:hint="eastAsia"/>
          <w:color w:val="auto"/>
          <w:highlight w:val="none"/>
          <w:lang w:val="en-US" w:eastAsia="zh-CN"/>
        </w:rPr>
        <w:t>，</w:t>
      </w:r>
      <w:r>
        <w:rPr>
          <w:rFonts w:hint="eastAsia"/>
          <w:color w:val="auto"/>
          <w:highlight w:val="none"/>
        </w:rPr>
        <w:t>共计1个包，</w:t>
      </w:r>
      <w:r>
        <w:rPr>
          <w:rFonts w:hint="eastAsia"/>
          <w:color w:val="auto"/>
          <w:highlight w:val="none"/>
          <w:lang w:val="en-US" w:eastAsia="zh-CN"/>
        </w:rPr>
        <w:t>设置1名中标人</w:t>
      </w:r>
      <w:r>
        <w:rPr>
          <w:rFonts w:hint="eastAsia"/>
          <w:color w:val="auto"/>
          <w:highlight w:val="none"/>
        </w:rPr>
        <w:t>，</w:t>
      </w:r>
      <w:r>
        <w:rPr>
          <w:rFonts w:hint="eastAsia"/>
          <w:color w:val="auto"/>
          <w:highlight w:val="none"/>
          <w:lang w:val="en-US" w:eastAsia="zh-CN"/>
        </w:rPr>
        <w:t>具体</w:t>
      </w:r>
      <w:r>
        <w:rPr>
          <w:rFonts w:hint="eastAsia"/>
          <w:color w:val="auto"/>
          <w:highlight w:val="none"/>
        </w:rPr>
        <w:t>详见招标文件第六章。</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lang w:val="en-US" w:eastAsia="zh-CN"/>
        </w:rPr>
      </w:pPr>
      <w:r>
        <w:rPr>
          <w:rFonts w:hint="eastAsia"/>
          <w:b/>
          <w:bCs/>
          <w:color w:val="auto"/>
          <w:highlight w:val="none"/>
          <w:lang w:val="en-US" w:eastAsia="zh-CN"/>
        </w:rPr>
        <w:t>(二)采购用途：</w:t>
      </w:r>
      <w:r>
        <w:rPr>
          <w:rFonts w:hint="eastAsia"/>
          <w:b w:val="0"/>
          <w:bCs w:val="0"/>
          <w:color w:val="auto"/>
          <w:highlight w:val="none"/>
          <w:lang w:val="en-US" w:eastAsia="zh-CN"/>
        </w:rPr>
        <w:t>用于促进成都市技师学院BIM相关专业发展的建设，建设人才实训基地，培养高技能人才，开展企业员工培训，服务地方经济。</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lang w:val="en-US" w:eastAsia="zh-CN"/>
        </w:rPr>
      </w:pPr>
      <w:r>
        <w:rPr>
          <w:rFonts w:hint="eastAsia"/>
          <w:b/>
          <w:bCs/>
          <w:color w:val="auto"/>
          <w:highlight w:val="none"/>
          <w:lang w:val="en-US" w:eastAsia="zh-CN"/>
        </w:rPr>
        <w:t>(三)项目性质：</w:t>
      </w:r>
      <w:r>
        <w:rPr>
          <w:rFonts w:hint="eastAsia"/>
          <w:color w:val="auto"/>
          <w:highlight w:val="none"/>
          <w:lang w:val="en-US" w:eastAsia="zh-CN"/>
        </w:rPr>
        <w:t>政府采购。</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供应商参加本次政府采购活动应具备下列条件：</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rPr>
      </w:pPr>
      <w:r>
        <w:rPr>
          <w:rFonts w:hint="eastAsia"/>
          <w:color w:val="auto"/>
          <w:highlight w:val="none"/>
          <w:lang w:val="en-US" w:eastAsia="zh-CN"/>
        </w:rPr>
        <w:t>(一)</w:t>
      </w:r>
      <w:r>
        <w:rPr>
          <w:rFonts w:hint="eastAsia"/>
          <w:color w:val="auto"/>
          <w:highlight w:val="none"/>
          <w:lang w:val="zh-CN"/>
        </w:rPr>
        <w:t>符合《中华人民共和国政府采购法》第二十二条规定的条件：</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具有独立承担</w:t>
      </w:r>
      <w:r>
        <w:rPr>
          <w:rFonts w:hint="eastAsia"/>
          <w:color w:val="auto"/>
          <w:highlight w:val="none"/>
        </w:rPr>
        <w:fldChar w:fldCharType="begin"/>
      </w:r>
      <w:r>
        <w:rPr>
          <w:rFonts w:hint="eastAsia"/>
          <w:color w:val="auto"/>
          <w:highlight w:val="none"/>
        </w:rPr>
        <w:instrText xml:space="preserve"> HYPERLINK "http://www.lawtime.cn/info/minfa/mszeren/" \t "_blank" </w:instrText>
      </w:r>
      <w:r>
        <w:rPr>
          <w:rFonts w:hint="eastAsia"/>
          <w:color w:val="auto"/>
          <w:highlight w:val="none"/>
        </w:rPr>
        <w:fldChar w:fldCharType="separate"/>
      </w:r>
      <w:r>
        <w:rPr>
          <w:rFonts w:hint="eastAsia"/>
          <w:color w:val="auto"/>
          <w:highlight w:val="none"/>
        </w:rPr>
        <w:t>民事责任</w:t>
      </w:r>
      <w:r>
        <w:rPr>
          <w:rFonts w:hint="eastAsia"/>
          <w:color w:val="auto"/>
          <w:highlight w:val="none"/>
        </w:rPr>
        <w:fldChar w:fldCharType="end"/>
      </w:r>
      <w:r>
        <w:rPr>
          <w:rFonts w:hint="eastAsia"/>
          <w:color w:val="auto"/>
          <w:highlight w:val="none"/>
        </w:rPr>
        <w:t>的能力；</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具有良好的商业信誉和健全的财务会计制度；</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具有履行合同所必需的设备和专业技术能力；</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4.有依法缴纳税收和</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"http://www.lawtime.cn/info/laodong/shehuibaozhang/" \t "_blank" </w:instrText>
      </w:r>
      <w:r>
        <w:rPr>
          <w:rFonts w:hint="eastAsia"/>
          <w:color w:val="auto"/>
          <w:highlight w:val="none"/>
          <w:lang w:val="en-US" w:eastAsia="zh-CN"/>
        </w:rPr>
        <w:fldChar w:fldCharType="separate"/>
      </w:r>
      <w:r>
        <w:rPr>
          <w:rFonts w:hint="eastAsia"/>
          <w:color w:val="auto"/>
          <w:highlight w:val="none"/>
          <w:lang w:val="en-US" w:eastAsia="zh-CN"/>
        </w:rPr>
        <w:t>社会保障</w:t>
      </w:r>
      <w:r>
        <w:rPr>
          <w:rFonts w:hint="eastAsia"/>
          <w:color w:val="auto"/>
          <w:highlight w:val="none"/>
          <w:lang w:val="en-US" w:eastAsia="zh-CN"/>
        </w:rPr>
        <w:fldChar w:fldCharType="end"/>
      </w:r>
      <w:r>
        <w:rPr>
          <w:rFonts w:hint="eastAsia"/>
          <w:color w:val="auto"/>
          <w:highlight w:val="none"/>
          <w:lang w:val="en-US" w:eastAsia="zh-CN"/>
        </w:rPr>
        <w:t>资金的良好记录；</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5.参加政府采购活动前三年内，在经营活动中没有重大违法记录；</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6.法律、</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"http://www.lawtime.cn/info/sifakaoshi/xingzhengfa/" \t "_blank" </w:instrText>
      </w:r>
      <w:r>
        <w:rPr>
          <w:rFonts w:hint="eastAsia"/>
          <w:color w:val="auto"/>
          <w:highlight w:val="none"/>
          <w:lang w:val="en-US" w:eastAsia="zh-CN"/>
        </w:rPr>
        <w:fldChar w:fldCharType="separate"/>
      </w:r>
      <w:r>
        <w:rPr>
          <w:rFonts w:hint="eastAsia"/>
          <w:color w:val="auto"/>
          <w:highlight w:val="none"/>
          <w:lang w:val="en-US" w:eastAsia="zh-CN"/>
        </w:rPr>
        <w:t>行政法</w:t>
      </w:r>
      <w:r>
        <w:rPr>
          <w:rFonts w:hint="eastAsia"/>
          <w:color w:val="auto"/>
          <w:highlight w:val="none"/>
          <w:lang w:val="en-US" w:eastAsia="zh-CN"/>
        </w:rPr>
        <w:fldChar w:fldCharType="end"/>
      </w:r>
      <w:r>
        <w:rPr>
          <w:rFonts w:hint="eastAsia"/>
          <w:color w:val="auto"/>
          <w:highlight w:val="none"/>
          <w:lang w:val="en-US" w:eastAsia="zh-CN"/>
        </w:rPr>
        <w:t>规规定的其他条件。</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rPr>
      </w:pPr>
      <w:r>
        <w:rPr>
          <w:rFonts w:hint="eastAsia"/>
          <w:color w:val="auto"/>
          <w:highlight w:val="none"/>
          <w:lang w:val="en-US" w:eastAsia="zh-CN"/>
        </w:rPr>
        <w:t>(二)</w:t>
      </w:r>
      <w:r>
        <w:rPr>
          <w:rFonts w:hint="eastAsia"/>
          <w:color w:val="auto"/>
          <w:highlight w:val="none"/>
          <w:lang w:val="zh-CN"/>
        </w:rPr>
        <w:t>本项目的特定资格要求：</w:t>
      </w:r>
      <w:r>
        <w:rPr>
          <w:rFonts w:hint="eastAsia"/>
          <w:color w:val="auto"/>
          <w:highlight w:val="none"/>
          <w:lang w:val="en-US" w:eastAsia="zh-CN"/>
        </w:rPr>
        <w:t>本项目不接受联合体投标。</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禁止参加本次采购活动的供应商</w:t>
      </w:r>
    </w:p>
    <w:p>
      <w:pPr>
        <w:pStyle w:val="39"/>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color w:val="auto"/>
          <w:highlight w:val="none"/>
          <w:lang w:val="en-US" w:eastAsia="zh-CN"/>
        </w:rPr>
      </w:pPr>
      <w:bookmarkStart w:id="19" w:name="PO_默认文件内容_4"/>
      <w:r>
        <w:rPr>
          <w:rFonts w:hint="eastAsia"/>
          <w:color w:val="auto"/>
          <w:highlight w:val="none"/>
          <w:lang w:val="en-US" w:eastAsia="zh-CN"/>
        </w:rPr>
        <w:t>根据《关于在政府采购活动中查询及使用信用记录有关问题的通知》(财库〔2016〕125号)的要求，采购代理机构将通过“信用中国”网站(www.creditchina.gov.cn)、“中国政府采购网”网站(www.ccgp.gov.cn)等渠道查询供应商在投标文件递交截止日前的信用记录并保存信用记录结果网页截图，拒绝列入失信被执行人名单、重大税收违法案件当事人名单、政府采购严重违法失信行为记录名单中的供应商报名参加本项目的采购活动。</w:t>
      </w:r>
    </w:p>
    <w:bookmarkEnd w:id="19"/>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获取招标文件的时间期限、地点、方式</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lang w:val="zh-CN"/>
        </w:rPr>
      </w:pPr>
      <w:r>
        <w:rPr>
          <w:rFonts w:hint="eastAsia"/>
          <w:b/>
          <w:bCs/>
          <w:color w:val="auto"/>
          <w:highlight w:val="none"/>
          <w:lang w:val="en-US" w:eastAsia="zh-CN"/>
        </w:rPr>
        <w:t>(一)</w:t>
      </w:r>
      <w:r>
        <w:rPr>
          <w:rFonts w:hint="eastAsia"/>
          <w:b/>
          <w:bCs/>
          <w:color w:val="auto"/>
          <w:highlight w:val="none"/>
        </w:rPr>
        <w:t>获取招标文件的时间期限(即报名时间)</w:t>
      </w:r>
      <w:r>
        <w:rPr>
          <w:rFonts w:hint="eastAsia"/>
          <w:color w:val="auto"/>
          <w:highlight w:val="none"/>
        </w:rPr>
        <w:t>：</w:t>
      </w:r>
      <w:r>
        <w:rPr>
          <w:rFonts w:hint="eastAsia"/>
          <w:color w:val="auto"/>
          <w:highlight w:val="none"/>
          <w:u w:val="single"/>
          <w:lang w:eastAsia="zh-CN"/>
        </w:rPr>
        <w:t>202</w:t>
      </w:r>
      <w:r>
        <w:rPr>
          <w:rFonts w:hint="eastAsia"/>
          <w:color w:val="auto"/>
          <w:highlight w:val="none"/>
          <w:u w:val="single"/>
          <w:lang w:val="en-US" w:eastAsia="zh-CN"/>
        </w:rPr>
        <w:t>1</w:t>
      </w:r>
      <w:r>
        <w:rPr>
          <w:rFonts w:hint="eastAsia"/>
          <w:color w:val="auto"/>
          <w:highlight w:val="none"/>
          <w:u w:val="single"/>
          <w:lang w:eastAsia="zh-CN"/>
        </w:rPr>
        <w:t>年</w:t>
      </w:r>
      <w:r>
        <w:rPr>
          <w:rFonts w:hint="eastAsia"/>
          <w:color w:val="auto"/>
          <w:highlight w:val="none"/>
          <w:u w:val="single"/>
          <w:lang w:val="en-US" w:eastAsia="zh-CN"/>
        </w:rPr>
        <w:t>5</w:t>
      </w:r>
      <w:r>
        <w:rPr>
          <w:rFonts w:hint="eastAsia"/>
          <w:color w:val="auto"/>
          <w:highlight w:val="none"/>
          <w:u w:val="single"/>
          <w:lang w:eastAsia="zh-CN"/>
        </w:rPr>
        <w:t>月</w:t>
      </w:r>
      <w:r>
        <w:rPr>
          <w:rFonts w:hint="eastAsia"/>
          <w:color w:val="auto"/>
          <w:highlight w:val="none"/>
          <w:u w:val="single"/>
          <w:lang w:val="en-US" w:eastAsia="zh-CN"/>
        </w:rPr>
        <w:t>26</w:t>
      </w:r>
      <w:r>
        <w:rPr>
          <w:rFonts w:hint="eastAsia"/>
          <w:color w:val="auto"/>
          <w:highlight w:val="none"/>
          <w:u w:val="single"/>
          <w:lang w:eastAsia="zh-CN"/>
        </w:rPr>
        <w:t>日至202</w:t>
      </w:r>
      <w:r>
        <w:rPr>
          <w:rFonts w:hint="eastAsia"/>
          <w:color w:val="auto"/>
          <w:highlight w:val="none"/>
          <w:u w:val="single"/>
          <w:lang w:val="en-US" w:eastAsia="zh-CN"/>
        </w:rPr>
        <w:t>1</w:t>
      </w:r>
      <w:r>
        <w:rPr>
          <w:rFonts w:hint="eastAsia"/>
          <w:color w:val="auto"/>
          <w:highlight w:val="none"/>
          <w:u w:val="single"/>
          <w:lang w:eastAsia="zh-CN"/>
        </w:rPr>
        <w:t>年</w:t>
      </w:r>
      <w:r>
        <w:rPr>
          <w:rFonts w:hint="eastAsia"/>
          <w:color w:val="auto"/>
          <w:highlight w:val="none"/>
          <w:u w:val="single"/>
          <w:lang w:val="en-US" w:eastAsia="zh-CN"/>
        </w:rPr>
        <w:t>6</w:t>
      </w:r>
      <w:r>
        <w:rPr>
          <w:rFonts w:hint="eastAsia"/>
          <w:color w:val="auto"/>
          <w:highlight w:val="none"/>
          <w:u w:val="single"/>
          <w:lang w:eastAsia="zh-CN"/>
        </w:rPr>
        <w:t>月</w:t>
      </w:r>
      <w:r>
        <w:rPr>
          <w:rFonts w:hint="eastAsia"/>
          <w:color w:val="auto"/>
          <w:highlight w:val="none"/>
          <w:u w:val="single"/>
          <w:lang w:val="en-US" w:eastAsia="zh-CN"/>
        </w:rPr>
        <w:t>1</w:t>
      </w:r>
      <w:r>
        <w:rPr>
          <w:rFonts w:hint="eastAsia"/>
          <w:color w:val="auto"/>
          <w:highlight w:val="none"/>
          <w:u w:val="single"/>
          <w:lang w:eastAsia="zh-CN"/>
        </w:rPr>
        <w:t>日，每天上午9时00分至12时00分，下午</w:t>
      </w:r>
      <w:r>
        <w:rPr>
          <w:rFonts w:hint="eastAsia"/>
          <w:color w:val="auto"/>
          <w:highlight w:val="none"/>
          <w:u w:val="single"/>
          <w:lang w:val="en-US" w:eastAsia="zh-CN"/>
        </w:rPr>
        <w:t>14</w:t>
      </w:r>
      <w:r>
        <w:rPr>
          <w:rFonts w:hint="eastAsia"/>
          <w:color w:val="auto"/>
          <w:highlight w:val="none"/>
          <w:u w:val="single"/>
          <w:lang w:eastAsia="zh-CN"/>
        </w:rPr>
        <w:t>时</w:t>
      </w:r>
      <w:r>
        <w:rPr>
          <w:rFonts w:hint="eastAsia"/>
          <w:color w:val="auto"/>
          <w:highlight w:val="none"/>
          <w:u w:val="single"/>
          <w:lang w:val="en-US" w:eastAsia="zh-CN"/>
        </w:rPr>
        <w:t>00</w:t>
      </w:r>
      <w:r>
        <w:rPr>
          <w:rFonts w:hint="eastAsia"/>
          <w:color w:val="auto"/>
          <w:highlight w:val="none"/>
          <w:u w:val="single"/>
          <w:lang w:eastAsia="zh-CN"/>
        </w:rPr>
        <w:t>分至</w:t>
      </w:r>
      <w:r>
        <w:rPr>
          <w:rFonts w:hint="eastAsia"/>
          <w:color w:val="auto"/>
          <w:highlight w:val="none"/>
          <w:u w:val="single"/>
          <w:lang w:val="en-US" w:eastAsia="zh-CN"/>
        </w:rPr>
        <w:t>17</w:t>
      </w:r>
      <w:r>
        <w:rPr>
          <w:rFonts w:hint="eastAsia"/>
          <w:color w:val="auto"/>
          <w:highlight w:val="none"/>
          <w:u w:val="single"/>
          <w:lang w:eastAsia="zh-CN"/>
        </w:rPr>
        <w:t>时</w:t>
      </w:r>
      <w:r>
        <w:rPr>
          <w:rFonts w:hint="eastAsia"/>
          <w:color w:val="auto"/>
          <w:highlight w:val="none"/>
          <w:u w:val="single"/>
          <w:lang w:val="en-US" w:eastAsia="zh-CN"/>
        </w:rPr>
        <w:t>00</w:t>
      </w:r>
      <w:r>
        <w:rPr>
          <w:rFonts w:hint="eastAsia"/>
          <w:color w:val="auto"/>
          <w:highlight w:val="none"/>
          <w:u w:val="single"/>
          <w:lang w:eastAsia="zh-CN"/>
        </w:rPr>
        <w:t>分(北京时间，法定节假日除外)。</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lang w:val="zh-CN"/>
        </w:rPr>
      </w:pPr>
      <w:r>
        <w:rPr>
          <w:rFonts w:hint="eastAsia"/>
          <w:b/>
          <w:bCs/>
          <w:color w:val="auto"/>
          <w:highlight w:val="none"/>
          <w:lang w:val="en-US" w:eastAsia="zh-CN"/>
        </w:rPr>
        <w:t>(二)</w:t>
      </w:r>
      <w:r>
        <w:rPr>
          <w:rFonts w:hint="eastAsia"/>
          <w:b/>
          <w:bCs/>
          <w:color w:val="auto"/>
          <w:highlight w:val="none"/>
        </w:rPr>
        <w:t>获取招标文件的地点</w:t>
      </w:r>
      <w:r>
        <w:rPr>
          <w:rFonts w:hint="eastAsia"/>
          <w:b/>
          <w:bCs/>
          <w:color w:val="auto"/>
          <w:highlight w:val="none"/>
          <w:lang w:eastAsia="zh-CN"/>
        </w:rPr>
        <w:t>：</w:t>
      </w:r>
      <w:r>
        <w:rPr>
          <w:rFonts w:hint="eastAsia"/>
          <w:color w:val="auto"/>
          <w:highlight w:val="none"/>
        </w:rPr>
        <w:t>四川乾新招投标代理有限公司</w:t>
      </w:r>
      <w:r>
        <w:rPr>
          <w:rFonts w:hint="eastAsia"/>
          <w:color w:val="auto"/>
          <w:highlight w:val="none"/>
          <w:lang w:val="en-US" w:eastAsia="zh-CN"/>
        </w:rPr>
        <w:t>(</w:t>
      </w:r>
      <w:r>
        <w:rPr>
          <w:rFonts w:hint="eastAsia"/>
          <w:b/>
          <w:bCs/>
          <w:color w:val="auto"/>
          <w:highlight w:val="none"/>
          <w:lang w:eastAsia="zh-CN"/>
        </w:rPr>
        <w:t>http：//</w:t>
      </w:r>
      <w:r>
        <w:rPr>
          <w:rFonts w:hint="eastAsia"/>
          <w:b/>
          <w:bCs/>
          <w:color w:val="auto"/>
          <w:highlight w:val="none"/>
          <w:lang w:val="en-US" w:eastAsia="zh-CN"/>
        </w:rPr>
        <w:t>www.</w:t>
      </w:r>
      <w:r>
        <w:rPr>
          <w:rFonts w:hint="eastAsia"/>
          <w:b/>
          <w:bCs/>
          <w:color w:val="auto"/>
          <w:highlight w:val="none"/>
          <w:lang w:eastAsia="zh-CN"/>
        </w:rPr>
        <w:t>qxztb.cn</w:t>
      </w:r>
      <w:r>
        <w:rPr>
          <w:rFonts w:hint="eastAsia"/>
          <w:color w:val="auto"/>
          <w:highlight w:val="none"/>
          <w:lang w:val="en-US" w:eastAsia="zh-CN"/>
        </w:rPr>
        <w:t>)</w:t>
      </w:r>
      <w:r>
        <w:rPr>
          <w:rFonts w:hint="eastAsia"/>
          <w:color w:val="auto"/>
          <w:highlight w:val="none"/>
          <w:lang w:val="zh-CN"/>
        </w:rPr>
        <w:t>。</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default"/>
          <w:b/>
          <w:bCs/>
          <w:color w:val="auto"/>
          <w:highlight w:val="none"/>
          <w:lang w:val="en-US" w:eastAsia="zh-CN"/>
        </w:rPr>
      </w:pPr>
      <w:r>
        <w:rPr>
          <w:rFonts w:hint="eastAsia"/>
          <w:b/>
          <w:bCs/>
          <w:color w:val="auto"/>
          <w:highlight w:val="none"/>
          <w:lang w:val="en-US" w:eastAsia="zh-CN"/>
        </w:rPr>
        <w:t>(三)</w:t>
      </w:r>
      <w:r>
        <w:rPr>
          <w:rFonts w:hint="eastAsia"/>
          <w:b/>
          <w:bCs/>
          <w:color w:val="auto"/>
          <w:highlight w:val="none"/>
        </w:rPr>
        <w:t>获取招标文件的方式</w:t>
      </w:r>
      <w:r>
        <w:rPr>
          <w:rFonts w:hint="eastAsia"/>
          <w:b/>
          <w:bCs/>
          <w:color w:val="auto"/>
          <w:highlight w:val="none"/>
          <w:lang w:eastAsia="zh-CN"/>
        </w:rPr>
        <w:t>：</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default"/>
          <w:color w:val="auto"/>
          <w:highlight w:val="none"/>
          <w:lang w:val="en-US" w:eastAsia="zh-CN"/>
        </w:rPr>
      </w:pPr>
      <w:r>
        <w:rPr>
          <w:rFonts w:hint="eastAsia"/>
          <w:b/>
          <w:bCs/>
          <w:color w:val="auto"/>
          <w:highlight w:val="none"/>
          <w:lang w:val="en-US" w:eastAsia="zh-CN"/>
        </w:rPr>
        <w:t>1.</w:t>
      </w:r>
      <w:r>
        <w:rPr>
          <w:rFonts w:hint="eastAsia"/>
          <w:b/>
          <w:bCs/>
          <w:color w:val="auto"/>
          <w:highlight w:val="none"/>
          <w:lang w:val="en-US" w:eastAsia="zh-CN"/>
        </w:rPr>
        <w:tab/>
      </w:r>
      <w:r>
        <w:rPr>
          <w:rFonts w:hint="eastAsia"/>
          <w:b/>
          <w:bCs/>
          <w:color w:val="auto"/>
          <w:highlight w:val="none"/>
          <w:lang w:val="en-US" w:eastAsia="zh-CN"/>
        </w:rPr>
        <w:t>在本项目招标文件获取时间期限内，在采购代理机构指定网站(http：//www.</w:t>
      </w:r>
      <w:r>
        <w:rPr>
          <w:rFonts w:hint="eastAsia"/>
          <w:b/>
          <w:bCs/>
          <w:color w:val="auto"/>
          <w:highlight w:val="none"/>
          <w:lang w:eastAsia="zh-CN"/>
        </w:rPr>
        <w:t>qxztb.cn</w:t>
      </w:r>
      <w:r>
        <w:rPr>
          <w:rFonts w:hint="eastAsia"/>
          <w:b/>
          <w:bCs/>
          <w:color w:val="auto"/>
          <w:highlight w:val="none"/>
          <w:lang w:val="en-US" w:eastAsia="zh-CN"/>
        </w:rPr>
        <w:t>)</w:t>
      </w:r>
      <w:r>
        <w:rPr>
          <w:rFonts w:hint="eastAsia"/>
          <w:b/>
          <w:bCs/>
          <w:color w:val="auto"/>
          <w:highlight w:val="none"/>
        </w:rPr>
        <w:t>获取</w:t>
      </w:r>
      <w:r>
        <w:rPr>
          <w:rFonts w:hint="eastAsia"/>
          <w:b/>
          <w:bCs/>
          <w:color w:val="auto"/>
          <w:highlight w:val="none"/>
          <w:lang w:val="en-US" w:eastAsia="zh-CN"/>
        </w:rPr>
        <w:t>，具体</w:t>
      </w:r>
      <w:r>
        <w:rPr>
          <w:rFonts w:hint="eastAsia"/>
          <w:b/>
          <w:bCs/>
          <w:color w:val="auto"/>
          <w:highlight w:val="none"/>
        </w:rPr>
        <w:t>获取</w:t>
      </w:r>
      <w:r>
        <w:rPr>
          <w:rFonts w:hint="eastAsia"/>
          <w:b/>
          <w:bCs/>
          <w:color w:val="auto"/>
          <w:highlight w:val="none"/>
          <w:lang w:val="en-US" w:eastAsia="zh-CN"/>
        </w:rPr>
        <w:t>流程详见该网站的“标书在线</w:t>
      </w:r>
      <w:r>
        <w:rPr>
          <w:rFonts w:hint="eastAsia"/>
          <w:b/>
          <w:bCs/>
          <w:color w:val="auto"/>
          <w:highlight w:val="none"/>
        </w:rPr>
        <w:t>获取</w:t>
      </w:r>
      <w:r>
        <w:rPr>
          <w:rFonts w:hint="eastAsia"/>
          <w:b/>
          <w:bCs/>
          <w:color w:val="auto"/>
          <w:highlight w:val="none"/>
          <w:lang w:val="en-US" w:eastAsia="zh-CN"/>
        </w:rPr>
        <w:t>流程”。</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color w:val="auto"/>
          <w:highlight w:val="none"/>
          <w:lang w:val="zh-CN" w:eastAsia="zh-CN"/>
        </w:rPr>
      </w:pPr>
      <w:r>
        <w:rPr>
          <w:rFonts w:hint="eastAsia"/>
          <w:b/>
          <w:bCs/>
          <w:color w:val="auto"/>
          <w:highlight w:val="none"/>
          <w:lang w:val="en-US" w:eastAsia="zh-CN"/>
        </w:rPr>
        <w:t>2.报名咨询电话：</w:t>
      </w:r>
      <w:r>
        <w:rPr>
          <w:rFonts w:hint="eastAsia"/>
          <w:b/>
          <w:bCs/>
          <w:color w:val="auto"/>
          <w:highlight w:val="none"/>
          <w:lang w:val="zh-CN" w:eastAsia="zh-CN"/>
        </w:rPr>
        <w:t>028-61375575、62600820、62630990转601或602。</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rPr>
      </w:pPr>
      <w:r>
        <w:rPr>
          <w:rFonts w:hint="eastAsia"/>
          <w:b/>
          <w:bCs/>
          <w:color w:val="auto"/>
          <w:highlight w:val="none"/>
          <w:lang w:val="en-US" w:eastAsia="zh-CN"/>
        </w:rPr>
        <w:t>(四)招标文件免费提供</w:t>
      </w:r>
      <w:r>
        <w:rPr>
          <w:rFonts w:hint="eastAsia"/>
          <w:b/>
          <w:bCs/>
          <w:color w:val="auto"/>
          <w:highlight w:val="none"/>
          <w:lang w:val="zh-CN"/>
        </w:rPr>
        <w:t xml:space="preserve">, </w:t>
      </w:r>
      <w:r>
        <w:rPr>
          <w:rFonts w:hint="eastAsia"/>
          <w:b/>
          <w:bCs/>
          <w:color w:val="auto"/>
          <w:highlight w:val="none"/>
          <w:lang w:val="en-US" w:eastAsia="zh-CN"/>
        </w:rPr>
        <w:t>投标</w:t>
      </w:r>
      <w:r>
        <w:rPr>
          <w:rFonts w:hint="eastAsia"/>
          <w:b/>
          <w:bCs/>
          <w:color w:val="auto"/>
          <w:highlight w:val="none"/>
        </w:rPr>
        <w:t>资格</w:t>
      </w:r>
      <w:r>
        <w:rPr>
          <w:rFonts w:hint="eastAsia"/>
          <w:b/>
          <w:bCs/>
          <w:color w:val="auto"/>
          <w:highlight w:val="none"/>
          <w:lang w:eastAsia="zh-CN"/>
        </w:rPr>
        <w:t>不得</w:t>
      </w:r>
      <w:r>
        <w:rPr>
          <w:rFonts w:hint="eastAsia"/>
          <w:b/>
          <w:bCs/>
          <w:color w:val="auto"/>
          <w:highlight w:val="none"/>
        </w:rPr>
        <w:t>转让</w:t>
      </w:r>
      <w:r>
        <w:rPr>
          <w:rFonts w:hint="eastAsia"/>
          <w:b/>
          <w:bCs/>
          <w:color w:val="auto"/>
          <w:highlight w:val="none"/>
          <w:lang w:eastAsia="zh-CN"/>
        </w:rPr>
        <w:t>。</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color w:val="auto"/>
          <w:highlight w:val="none"/>
          <w:lang w:val="en-US" w:eastAsia="zh-CN"/>
        </w:rPr>
      </w:pPr>
      <w:r>
        <w:rPr>
          <w:rFonts w:hint="eastAsia"/>
          <w:b/>
          <w:bCs/>
          <w:color w:val="auto"/>
          <w:highlight w:val="none"/>
          <w:lang w:val="en-US" w:eastAsia="zh-CN"/>
        </w:rPr>
        <w:t>(五)</w:t>
      </w:r>
      <w:r>
        <w:rPr>
          <w:rFonts w:hint="eastAsia"/>
          <w:color w:val="auto"/>
          <w:highlight w:val="none"/>
        </w:rPr>
        <w:t>供应商应在规定的时间内</w:t>
      </w:r>
      <w:r>
        <w:rPr>
          <w:rFonts w:hint="eastAsia"/>
          <w:color w:val="auto"/>
          <w:highlight w:val="none"/>
          <w:lang w:val="en-US" w:eastAsia="zh-CN"/>
        </w:rPr>
        <w:t>按上述要求</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val="en-US" w:eastAsia="zh-CN"/>
        </w:rPr>
        <w:t>获取</w:t>
      </w:r>
      <w:r>
        <w:rPr>
          <w:rFonts w:hint="eastAsia"/>
          <w:color w:val="auto"/>
          <w:highlight w:val="none"/>
        </w:rPr>
        <w:t>本</w:t>
      </w:r>
      <w:r>
        <w:rPr>
          <w:rFonts w:hint="eastAsia"/>
          <w:color w:val="auto"/>
          <w:highlight w:val="none"/>
          <w:lang w:val="en-US" w:eastAsia="zh-CN"/>
        </w:rPr>
        <w:t>招标</w:t>
      </w:r>
      <w:r>
        <w:rPr>
          <w:rFonts w:hint="eastAsia"/>
          <w:color w:val="auto"/>
          <w:highlight w:val="none"/>
        </w:rPr>
        <w:t>文件并登记，</w:t>
      </w:r>
      <w:r>
        <w:rPr>
          <w:rFonts w:hint="eastAsia"/>
          <w:color w:val="auto"/>
          <w:highlight w:val="none"/>
          <w:lang w:val="en-US" w:eastAsia="zh-CN"/>
        </w:rPr>
        <w:t>否则</w:t>
      </w:r>
      <w:r>
        <w:rPr>
          <w:rFonts w:hint="eastAsia"/>
          <w:color w:val="auto"/>
          <w:highlight w:val="none"/>
        </w:rPr>
        <w:t>均无资格参加该项目的</w:t>
      </w:r>
      <w:r>
        <w:rPr>
          <w:rFonts w:hint="eastAsia"/>
          <w:color w:val="auto"/>
          <w:highlight w:val="none"/>
          <w:lang w:val="en-US" w:eastAsia="zh-CN"/>
        </w:rPr>
        <w:t>投标</w:t>
      </w:r>
      <w:r>
        <w:rPr>
          <w:rFonts w:hint="eastAsia"/>
          <w:color w:val="auto"/>
          <w:highlight w:val="none"/>
        </w:rPr>
        <w:t>。</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投标文件的递交</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(一)</w:t>
      </w:r>
      <w:r>
        <w:rPr>
          <w:rFonts w:hint="eastAsia"/>
          <w:b w:val="0"/>
          <w:bCs w:val="0"/>
          <w:color w:val="auto"/>
          <w:highlight w:val="none"/>
        </w:rPr>
        <w:t>投标文件递交起止时间</w:t>
      </w:r>
      <w:r>
        <w:rPr>
          <w:rFonts w:hint="eastAsia"/>
          <w:b w:val="0"/>
          <w:bCs w:val="0"/>
          <w:color w:val="auto"/>
          <w:highlight w:val="none"/>
          <w:lang w:eastAsia="zh-CN"/>
        </w:rPr>
        <w:t>：</w:t>
      </w:r>
      <w:r>
        <w:rPr>
          <w:rFonts w:hint="eastAsia"/>
          <w:b w:val="0"/>
          <w:bCs w:val="0"/>
          <w:color w:val="auto"/>
          <w:highlight w:val="none"/>
        </w:rPr>
        <w:t>20</w:t>
      </w:r>
      <w:r>
        <w:rPr>
          <w:rFonts w:hint="eastAsia"/>
          <w:b w:val="0"/>
          <w:bCs w:val="0"/>
          <w:color w:val="auto"/>
          <w:highlight w:val="none"/>
          <w:lang w:val="en-US" w:eastAsia="zh-CN"/>
        </w:rPr>
        <w:t>21</w:t>
      </w:r>
      <w:r>
        <w:rPr>
          <w:rFonts w:hint="eastAsia"/>
          <w:b w:val="0"/>
          <w:bCs w:val="0"/>
          <w:color w:val="auto"/>
          <w:highlight w:val="none"/>
        </w:rPr>
        <w:t>年</w:t>
      </w:r>
      <w:r>
        <w:rPr>
          <w:rFonts w:hint="eastAsia"/>
          <w:b w:val="0"/>
          <w:bCs w:val="0"/>
          <w:color w:val="auto"/>
          <w:highlight w:val="none"/>
          <w:lang w:val="en-US" w:eastAsia="zh-CN"/>
        </w:rPr>
        <w:t>6</w:t>
      </w:r>
      <w:r>
        <w:rPr>
          <w:rFonts w:hint="eastAsia"/>
          <w:b w:val="0"/>
          <w:bCs w:val="0"/>
          <w:color w:val="auto"/>
          <w:highlight w:val="none"/>
        </w:rPr>
        <w:t>月</w:t>
      </w:r>
      <w:r>
        <w:rPr>
          <w:rFonts w:hint="eastAsia"/>
          <w:b w:val="0"/>
          <w:bCs w:val="0"/>
          <w:color w:val="auto"/>
          <w:highlight w:val="none"/>
          <w:lang w:val="en-US" w:eastAsia="zh-CN"/>
        </w:rPr>
        <w:t>15</w:t>
      </w:r>
      <w:r>
        <w:rPr>
          <w:rFonts w:hint="eastAsia"/>
          <w:b w:val="0"/>
          <w:bCs w:val="0"/>
          <w:color w:val="auto"/>
          <w:highlight w:val="none"/>
        </w:rPr>
        <w:t>日</w:t>
      </w:r>
      <w:r>
        <w:rPr>
          <w:rFonts w:hint="eastAsia"/>
          <w:b w:val="0"/>
          <w:bCs w:val="0"/>
          <w:color w:val="auto"/>
          <w:highlight w:val="none"/>
          <w:lang w:val="en-US" w:eastAsia="zh-CN"/>
        </w:rPr>
        <w:t>10</w:t>
      </w:r>
      <w:r>
        <w:rPr>
          <w:rFonts w:hint="eastAsia"/>
          <w:b w:val="0"/>
          <w:bCs w:val="0"/>
          <w:color w:val="auto"/>
          <w:highlight w:val="none"/>
        </w:rPr>
        <w:t>时30分至</w:t>
      </w:r>
      <w:r>
        <w:rPr>
          <w:rFonts w:hint="eastAsia"/>
          <w:b w:val="0"/>
          <w:bCs w:val="0"/>
          <w:color w:val="auto"/>
          <w:highlight w:val="none"/>
          <w:lang w:val="en-US" w:eastAsia="zh-CN"/>
        </w:rPr>
        <w:t>11</w:t>
      </w:r>
      <w:r>
        <w:rPr>
          <w:rFonts w:hint="eastAsia"/>
          <w:b w:val="0"/>
          <w:bCs w:val="0"/>
          <w:color w:val="auto"/>
          <w:highlight w:val="none"/>
        </w:rPr>
        <w:t>时00分</w:t>
      </w:r>
      <w:r>
        <w:rPr>
          <w:rFonts w:hint="eastAsia"/>
          <w:b w:val="0"/>
          <w:bCs w:val="0"/>
          <w:color w:val="auto"/>
          <w:highlight w:val="none"/>
          <w:lang w:eastAsia="zh-CN"/>
        </w:rPr>
        <w:t>。</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投标文件递交地点：</w:t>
      </w:r>
      <w:r>
        <w:rPr>
          <w:rFonts w:hint="eastAsia"/>
          <w:b w:val="0"/>
          <w:bCs w:val="0"/>
          <w:color w:val="auto"/>
          <w:highlight w:val="none"/>
          <w:lang w:val="zh-CN"/>
        </w:rPr>
        <w:t>成都市高新区吉庆三路333号蜀都中心二期一号楼一单元401号</w:t>
      </w:r>
      <w:r>
        <w:rPr>
          <w:rFonts w:hint="eastAsia"/>
          <w:b w:val="0"/>
          <w:bCs w:val="0"/>
          <w:color w:val="auto"/>
          <w:highlight w:val="none"/>
          <w:lang w:val="en-US" w:eastAsia="zh-CN"/>
        </w:rPr>
        <w:t>本项目开标室。</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b w:val="0"/>
          <w:bCs w:val="0"/>
          <w:color w:val="auto"/>
          <w:highlight w:val="none"/>
          <w:lang w:val="en-US" w:eastAsia="zh-CN"/>
        </w:rPr>
        <w:t>(三)</w:t>
      </w:r>
      <w:r>
        <w:rPr>
          <w:rFonts w:hint="eastAsia"/>
          <w:b w:val="0"/>
          <w:bCs w:val="0"/>
          <w:color w:val="auto"/>
          <w:highlight w:val="none"/>
        </w:rPr>
        <w:t>投标文件必须在投标截止时间前送达开标地点，逾期送达的投标文件恕不接收，本次招标不接受</w:t>
      </w:r>
      <w:r>
        <w:rPr>
          <w:rFonts w:hint="eastAsia"/>
          <w:color w:val="auto"/>
          <w:highlight w:val="none"/>
        </w:rPr>
        <w:t>邮寄的投标文件。</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lang w:val="en-US" w:eastAsia="zh-CN"/>
        </w:rPr>
        <w:t>提交</w:t>
      </w:r>
      <w:r>
        <w:rPr>
          <w:rFonts w:hint="eastAsia"/>
          <w:b/>
          <w:bCs/>
          <w:color w:val="auto"/>
          <w:highlight w:val="none"/>
        </w:rPr>
        <w:t>投标</w:t>
      </w:r>
      <w:r>
        <w:rPr>
          <w:rFonts w:hint="eastAsia"/>
          <w:b/>
          <w:bCs/>
          <w:color w:val="auto"/>
          <w:highlight w:val="none"/>
          <w:lang w:val="en-US" w:eastAsia="zh-CN"/>
        </w:rPr>
        <w:t>文件</w:t>
      </w:r>
      <w:r>
        <w:rPr>
          <w:rFonts w:hint="eastAsia"/>
          <w:b/>
          <w:bCs/>
          <w:color w:val="auto"/>
          <w:highlight w:val="none"/>
        </w:rPr>
        <w:t>截止时间及开标时间：</w:t>
      </w:r>
      <w:r>
        <w:rPr>
          <w:rFonts w:hint="eastAsia"/>
          <w:b w:val="0"/>
          <w:bCs w:val="0"/>
          <w:color w:val="auto"/>
          <w:highlight w:val="none"/>
        </w:rPr>
        <w:t>20</w:t>
      </w:r>
      <w:r>
        <w:rPr>
          <w:rFonts w:hint="eastAsia"/>
          <w:b w:val="0"/>
          <w:bCs w:val="0"/>
          <w:color w:val="auto"/>
          <w:highlight w:val="none"/>
          <w:lang w:val="en-US" w:eastAsia="zh-CN"/>
        </w:rPr>
        <w:t>21</w:t>
      </w:r>
      <w:r>
        <w:rPr>
          <w:rFonts w:hint="eastAsia"/>
          <w:b w:val="0"/>
          <w:bCs w:val="0"/>
          <w:color w:val="auto"/>
          <w:highlight w:val="none"/>
        </w:rPr>
        <w:t>年</w:t>
      </w:r>
      <w:r>
        <w:rPr>
          <w:rFonts w:hint="eastAsia"/>
          <w:b w:val="0"/>
          <w:bCs w:val="0"/>
          <w:color w:val="auto"/>
          <w:highlight w:val="none"/>
          <w:lang w:val="en-US" w:eastAsia="zh-CN"/>
        </w:rPr>
        <w:t>6</w:t>
      </w:r>
      <w:r>
        <w:rPr>
          <w:rFonts w:hint="eastAsia"/>
          <w:b w:val="0"/>
          <w:bCs w:val="0"/>
          <w:color w:val="auto"/>
          <w:highlight w:val="none"/>
        </w:rPr>
        <w:t>月</w:t>
      </w:r>
      <w:r>
        <w:rPr>
          <w:rFonts w:hint="eastAsia"/>
          <w:b w:val="0"/>
          <w:bCs w:val="0"/>
          <w:color w:val="auto"/>
          <w:highlight w:val="none"/>
          <w:lang w:val="en-US" w:eastAsia="zh-CN"/>
        </w:rPr>
        <w:t>15</w:t>
      </w:r>
      <w:r>
        <w:rPr>
          <w:rFonts w:hint="eastAsia"/>
          <w:b w:val="0"/>
          <w:bCs w:val="0"/>
          <w:color w:val="auto"/>
          <w:highlight w:val="none"/>
        </w:rPr>
        <w:t>日</w:t>
      </w:r>
      <w:r>
        <w:rPr>
          <w:rFonts w:hint="eastAsia"/>
          <w:b w:val="0"/>
          <w:bCs w:val="0"/>
          <w:color w:val="auto"/>
          <w:highlight w:val="none"/>
          <w:lang w:val="en-US" w:eastAsia="zh-CN"/>
        </w:rPr>
        <w:t>11</w:t>
      </w:r>
      <w:r>
        <w:rPr>
          <w:rFonts w:hint="eastAsia"/>
          <w:b w:val="0"/>
          <w:bCs w:val="0"/>
          <w:color w:val="auto"/>
          <w:highlight w:val="none"/>
        </w:rPr>
        <w:t>时00分。</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开标地点：</w:t>
      </w:r>
      <w:r>
        <w:rPr>
          <w:rFonts w:hint="eastAsia"/>
          <w:b w:val="0"/>
          <w:bCs w:val="0"/>
          <w:color w:val="auto"/>
          <w:highlight w:val="none"/>
          <w:lang w:val="zh-CN"/>
        </w:rPr>
        <w:t>成都市高新区吉庆三路333号蜀都中心二期一号楼一单元401号</w:t>
      </w:r>
      <w:r>
        <w:rPr>
          <w:rFonts w:hint="eastAsia"/>
          <w:b w:val="0"/>
          <w:bCs w:val="0"/>
          <w:color w:val="auto"/>
          <w:highlight w:val="none"/>
          <w:lang w:val="en-US" w:eastAsia="zh-CN"/>
        </w:rPr>
        <w:t>本项目开标室</w:t>
      </w:r>
      <w:r>
        <w:rPr>
          <w:rFonts w:hint="eastAsia"/>
          <w:b w:val="0"/>
          <w:bCs w:val="0"/>
          <w:color w:val="auto"/>
          <w:highlight w:val="none"/>
        </w:rPr>
        <w:t>。</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lang w:eastAsia="zh-CN"/>
        </w:rPr>
      </w:pPr>
      <w:r>
        <w:rPr>
          <w:rFonts w:hint="eastAsia"/>
          <w:b/>
          <w:bCs/>
          <w:color w:val="auto"/>
          <w:highlight w:val="none"/>
          <w:lang w:val="en-US" w:eastAsia="zh-CN"/>
        </w:rPr>
        <w:t>采购信息发布媒体：</w:t>
      </w:r>
      <w:r>
        <w:rPr>
          <w:rFonts w:hint="eastAsia"/>
          <w:b w:val="0"/>
          <w:bCs w:val="0"/>
          <w:color w:val="auto"/>
          <w:highlight w:val="none"/>
          <w:lang w:eastAsia="zh-CN"/>
        </w:rPr>
        <w:t>“四川政府采购网”。</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供应商信用融资：</w:t>
      </w:r>
    </w:p>
    <w:p>
      <w:pPr>
        <w:pStyle w:val="29"/>
        <w:keepNext w:val="0"/>
        <w:keepLines w:val="0"/>
        <w:pageBreakBefore w:val="0"/>
        <w:widowControl w:val="0"/>
        <w:kinsoku/>
        <w:overflowPunct/>
        <w:autoSpaceDE/>
        <w:autoSpaceDN/>
        <w:bidi w:val="0"/>
        <w:adjustRightInd w:val="0"/>
        <w:snapToGrid w:val="0"/>
        <w:spacing w:line="420" w:lineRule="exact"/>
        <w:jc w:val="both"/>
        <w:textAlignment w:val="auto"/>
        <w:rPr>
          <w:rFonts w:hint="eastAsia"/>
          <w:color w:val="auto"/>
          <w:highlight w:val="none"/>
        </w:rPr>
      </w:pPr>
      <w:r>
        <w:rPr>
          <w:rFonts w:hint="eastAsia"/>
          <w:color w:val="auto"/>
          <w:highlight w:val="none"/>
        </w:rPr>
        <w:t>根据《四川省财政厅关于推进四川省政府采购供应商信用融资工作的通知》</w:t>
      </w:r>
      <w:r>
        <w:rPr>
          <w:rFonts w:hint="eastAsia"/>
          <w:color w:val="auto"/>
          <w:highlight w:val="none"/>
          <w:lang w:eastAsia="zh-CN"/>
        </w:rPr>
        <w:t>(</w:t>
      </w:r>
      <w:r>
        <w:rPr>
          <w:rFonts w:hint="eastAsia"/>
          <w:color w:val="auto"/>
          <w:highlight w:val="none"/>
        </w:rPr>
        <w:t>川财采</w:t>
      </w:r>
      <w:r>
        <w:rPr>
          <w:rFonts w:hint="eastAsia"/>
          <w:color w:val="auto"/>
          <w:highlight w:val="none"/>
          <w:lang w:val="en-US" w:eastAsia="zh-CN"/>
        </w:rPr>
        <w:t>〔</w:t>
      </w:r>
      <w:r>
        <w:rPr>
          <w:rFonts w:hint="eastAsia"/>
          <w:color w:val="auto"/>
          <w:highlight w:val="none"/>
        </w:rPr>
        <w:t>2018</w:t>
      </w:r>
      <w:r>
        <w:rPr>
          <w:rFonts w:hint="eastAsia"/>
          <w:color w:val="auto"/>
          <w:highlight w:val="none"/>
          <w:lang w:val="en-US" w:eastAsia="zh-CN"/>
        </w:rPr>
        <w:t>〕</w:t>
      </w:r>
      <w:r>
        <w:rPr>
          <w:rFonts w:hint="eastAsia"/>
          <w:color w:val="auto"/>
          <w:highlight w:val="none"/>
        </w:rPr>
        <w:t>123号</w:t>
      </w:r>
      <w:r>
        <w:rPr>
          <w:rFonts w:hint="eastAsia"/>
          <w:color w:val="auto"/>
          <w:highlight w:val="none"/>
          <w:lang w:eastAsia="zh-CN"/>
        </w:rPr>
        <w:t>)</w:t>
      </w:r>
      <w:r>
        <w:rPr>
          <w:rFonts w:hint="eastAsia"/>
          <w:color w:val="auto"/>
          <w:highlight w:val="none"/>
        </w:rPr>
        <w:t>文件要求，为助力解决政府采购中标、成交供应商资金不足、融资难、融资贵的困难，促进供应商依法诚信参加政府采购活动，有融资需求的供应商可根据</w:t>
      </w:r>
      <w:r>
        <w:rPr>
          <w:rFonts w:hint="eastAsia"/>
          <w:color w:val="auto"/>
          <w:highlight w:val="none"/>
          <w:lang w:eastAsia="zh-CN"/>
        </w:rPr>
        <w:t>“</w:t>
      </w:r>
      <w:r>
        <w:rPr>
          <w:rFonts w:hint="eastAsia"/>
          <w:color w:val="auto"/>
          <w:highlight w:val="none"/>
        </w:rPr>
        <w:t>四川政府采购网</w:t>
      </w:r>
      <w:r>
        <w:rPr>
          <w:rFonts w:hint="eastAsia"/>
          <w:color w:val="auto"/>
          <w:highlight w:val="none"/>
          <w:lang w:eastAsia="zh-CN"/>
        </w:rPr>
        <w:t>”</w:t>
      </w:r>
      <w:r>
        <w:rPr>
          <w:rFonts w:hint="eastAsia"/>
          <w:color w:val="auto"/>
          <w:highlight w:val="none"/>
        </w:rPr>
        <w:t>公示的银行及其“政采贷”产品，自行选择符合自身情况的“政采贷”银行及其产品，凭</w:t>
      </w:r>
      <w:r>
        <w:rPr>
          <w:rFonts w:hint="eastAsia"/>
          <w:color w:val="auto"/>
          <w:highlight w:val="none"/>
          <w:lang w:val="en-US" w:eastAsia="zh-CN"/>
        </w:rPr>
        <w:t>中标</w:t>
      </w:r>
      <w:r>
        <w:rPr>
          <w:rFonts w:hint="eastAsia"/>
          <w:color w:val="auto"/>
          <w:highlight w:val="none"/>
        </w:rPr>
        <w:t>通知书向银行提出贷款意向申请，并按照相关规定要求和贷款流程申请信用融资贷款。</w:t>
      </w:r>
    </w:p>
    <w:p>
      <w:pPr>
        <w:pStyle w:val="25"/>
        <w:keepNext w:val="0"/>
        <w:keepLines w:val="0"/>
        <w:pageBreakBefore w:val="0"/>
        <w:widowControl w:val="0"/>
        <w:numPr>
          <w:ilvl w:val="0"/>
          <w:numId w:val="7"/>
        </w:numPr>
        <w:kinsoku/>
        <w:wordWrap w:val="0"/>
        <w:overflowPunct/>
        <w:topLinePunct/>
        <w:autoSpaceDE/>
        <w:autoSpaceDN/>
        <w:bidi w:val="0"/>
        <w:adjustRightInd w:val="0"/>
        <w:snapToGrid w:val="0"/>
        <w:spacing w:line="420" w:lineRule="exact"/>
        <w:ind w:left="0" w:leftChars="0" w:firstLine="482" w:firstLineChars="200"/>
        <w:textAlignment w:val="auto"/>
        <w:rPr>
          <w:rFonts w:hint="eastAsia"/>
          <w:b/>
          <w:bCs/>
          <w:color w:val="auto"/>
          <w:highlight w:val="none"/>
        </w:rPr>
      </w:pPr>
      <w:r>
        <w:rPr>
          <w:rFonts w:hint="eastAsia"/>
          <w:b/>
          <w:bCs/>
          <w:color w:val="auto"/>
          <w:highlight w:val="none"/>
        </w:rPr>
        <w:t>对本次招标提出询问，请按以下方式联系</w:t>
      </w:r>
      <w:r>
        <w:rPr>
          <w:rFonts w:hint="eastAsia"/>
          <w:b/>
          <w:bCs/>
          <w:color w:val="auto"/>
          <w:highlight w:val="none"/>
          <w:lang w:eastAsia="zh-CN"/>
        </w:rPr>
        <w:t>：</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采购人信息</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名    称</w:t>
      </w:r>
      <w:r>
        <w:rPr>
          <w:rFonts w:hint="eastAsia"/>
          <w:color w:val="auto"/>
          <w:highlight w:val="none"/>
        </w:rPr>
        <w:t>：</w:t>
      </w:r>
      <w:r>
        <w:rPr>
          <w:rFonts w:hint="eastAsia"/>
          <w:color w:val="auto"/>
          <w:highlight w:val="none"/>
          <w:lang w:eastAsia="zh-CN"/>
        </w:rPr>
        <w:t>成都市技师学院</w:t>
      </w:r>
    </w:p>
    <w:p>
      <w:pPr>
        <w:pStyle w:val="25"/>
        <w:spacing w:line="460" w:lineRule="exact"/>
        <w:ind w:firstLine="480" w:firstLineChars="200"/>
        <w:rPr>
          <w:rFonts w:cs="宋体"/>
          <w:color w:val="auto"/>
          <w:highlight w:val="none"/>
        </w:rPr>
      </w:pPr>
      <w:r>
        <w:rPr>
          <w:rFonts w:hint="eastAsia" w:cs="宋体"/>
          <w:color w:val="auto"/>
          <w:highlight w:val="none"/>
        </w:rPr>
        <w:t>地    址：成都市郫都区红光镇港通北三路1899号</w:t>
      </w:r>
    </w:p>
    <w:p>
      <w:pPr>
        <w:pStyle w:val="25"/>
        <w:spacing w:line="460" w:lineRule="exact"/>
        <w:ind w:firstLine="480" w:firstLineChars="200"/>
        <w:rPr>
          <w:rFonts w:cs="宋体"/>
          <w:color w:val="auto"/>
          <w:highlight w:val="none"/>
        </w:rPr>
      </w:pPr>
      <w:r>
        <w:rPr>
          <w:rFonts w:hint="eastAsia" w:cs="宋体"/>
          <w:color w:val="auto"/>
          <w:highlight w:val="none"/>
        </w:rPr>
        <w:t xml:space="preserve">联 系 人：刘林   </w:t>
      </w:r>
    </w:p>
    <w:p>
      <w:pPr>
        <w:pStyle w:val="25"/>
        <w:spacing w:line="460" w:lineRule="exact"/>
        <w:ind w:firstLine="480" w:firstLineChars="200"/>
        <w:rPr>
          <w:rFonts w:cs="宋体"/>
          <w:color w:val="auto"/>
          <w:highlight w:val="none"/>
        </w:rPr>
      </w:pPr>
      <w:r>
        <w:rPr>
          <w:rFonts w:hint="eastAsia" w:cs="宋体"/>
          <w:color w:val="auto"/>
          <w:highlight w:val="none"/>
        </w:rPr>
        <w:t>联系方式：028-64907283</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采购代理机构信息</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名    称</w:t>
      </w:r>
      <w:r>
        <w:rPr>
          <w:rFonts w:hint="eastAsia"/>
          <w:color w:val="auto"/>
          <w:highlight w:val="none"/>
        </w:rPr>
        <w:t>：四川乾新招投标代理有限公司</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rPr>
        <w:t>地    址：</w:t>
      </w:r>
      <w:r>
        <w:rPr>
          <w:rFonts w:hint="eastAsia"/>
          <w:color w:val="auto"/>
          <w:highlight w:val="none"/>
          <w:lang w:val="zh-CN"/>
        </w:rPr>
        <w:t>成都市高新区吉庆三路333号蜀都中心二期一号楼一单元401号</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rPr>
        <w:t>联</w:t>
      </w:r>
      <w:r>
        <w:rPr>
          <w:rFonts w:hint="eastAsia"/>
          <w:color w:val="auto"/>
          <w:highlight w:val="none"/>
          <w:lang w:val="en-US" w:eastAsia="zh-CN"/>
        </w:rPr>
        <w:t xml:space="preserve"> </w:t>
      </w:r>
      <w:r>
        <w:rPr>
          <w:rFonts w:hint="eastAsia"/>
          <w:color w:val="auto"/>
          <w:highlight w:val="none"/>
        </w:rPr>
        <w:t>系</w:t>
      </w:r>
      <w:r>
        <w:rPr>
          <w:rFonts w:hint="eastAsia"/>
          <w:color w:val="auto"/>
          <w:highlight w:val="none"/>
          <w:lang w:val="en-US" w:eastAsia="zh-CN"/>
        </w:rPr>
        <w:t xml:space="preserve"> </w:t>
      </w:r>
      <w:r>
        <w:rPr>
          <w:rFonts w:hint="eastAsia"/>
          <w:color w:val="auto"/>
          <w:highlight w:val="none"/>
        </w:rPr>
        <w:t>人：</w:t>
      </w:r>
      <w:r>
        <w:rPr>
          <w:rFonts w:hint="eastAsia"/>
          <w:color w:val="auto"/>
          <w:highlight w:val="none"/>
          <w:lang w:val="en-US" w:eastAsia="zh-CN"/>
        </w:rPr>
        <w:t xml:space="preserve">王朝钢 </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color w:val="auto"/>
          <w:highlight w:val="none"/>
          <w:lang w:val="en-US" w:eastAsia="zh-CN"/>
        </w:rPr>
      </w:pPr>
      <w:r>
        <w:rPr>
          <w:rFonts w:hint="eastAsia"/>
          <w:color w:val="auto"/>
          <w:highlight w:val="none"/>
          <w:lang w:val="zh-CN"/>
        </w:rPr>
        <w:t>联系电话：028-61375575、62600820、62630990转</w:t>
      </w:r>
      <w:r>
        <w:rPr>
          <w:rFonts w:hint="eastAsia"/>
          <w:color w:val="auto"/>
          <w:highlight w:val="none"/>
          <w:lang w:val="en-US" w:eastAsia="zh-CN"/>
        </w:rPr>
        <w:t>636</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rPr>
      </w:pPr>
      <w:r>
        <w:rPr>
          <w:rFonts w:hint="eastAsia"/>
          <w:color w:val="auto"/>
          <w:highlight w:val="none"/>
          <w:lang w:val="zh-CN"/>
        </w:rPr>
        <w:t>传    真：</w:t>
      </w:r>
      <w:r>
        <w:rPr>
          <w:rFonts w:hint="eastAsia"/>
          <w:color w:val="auto"/>
          <w:highlight w:val="none"/>
          <w:lang w:val="en-US" w:eastAsia="zh-CN"/>
        </w:rPr>
        <w:t>028-</w:t>
      </w:r>
      <w:r>
        <w:rPr>
          <w:rFonts w:hint="eastAsia"/>
          <w:color w:val="auto"/>
          <w:highlight w:val="none"/>
          <w:lang w:val="zh-CN"/>
        </w:rPr>
        <w:t>83381</w:t>
      </w:r>
      <w:r>
        <w:rPr>
          <w:rFonts w:hint="eastAsia"/>
          <w:color w:val="auto"/>
          <w:highlight w:val="none"/>
          <w:lang w:val="en-US" w:eastAsia="zh-CN"/>
        </w:rPr>
        <w:t>268</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rPr>
      </w:pPr>
      <w:r>
        <w:rPr>
          <w:rFonts w:hint="eastAsia"/>
          <w:color w:val="auto"/>
          <w:highlight w:val="none"/>
          <w:lang w:val="zh-CN"/>
        </w:rPr>
        <w:t>电子邮件：</w:t>
      </w:r>
      <w:r>
        <w:rPr>
          <w:rFonts w:hint="eastAsia"/>
          <w:color w:val="auto"/>
          <w:highlight w:val="none"/>
          <w:lang w:val="zh-CN"/>
        </w:rPr>
        <w:fldChar w:fldCharType="begin"/>
      </w:r>
      <w:r>
        <w:rPr>
          <w:rFonts w:hint="eastAsia"/>
          <w:color w:val="auto"/>
          <w:highlight w:val="none"/>
          <w:lang w:val="zh-CN"/>
        </w:rPr>
        <w:instrText xml:space="preserve"> HYPERLINK "mailto:scqxzb@163.com" </w:instrText>
      </w:r>
      <w:r>
        <w:rPr>
          <w:rFonts w:hint="eastAsia"/>
          <w:color w:val="auto"/>
          <w:highlight w:val="none"/>
          <w:lang w:val="zh-CN"/>
        </w:rPr>
        <w:fldChar w:fldCharType="separate"/>
      </w:r>
      <w:r>
        <w:rPr>
          <w:rFonts w:hint="eastAsia"/>
          <w:color w:val="auto"/>
          <w:highlight w:val="none"/>
          <w:lang w:val="zh-CN"/>
        </w:rPr>
        <w:t>scqxzb@163.com</w:t>
      </w:r>
      <w:r>
        <w:rPr>
          <w:rFonts w:hint="eastAsia"/>
          <w:color w:val="auto"/>
          <w:highlight w:val="none"/>
          <w:lang w:val="zh-CN"/>
        </w:rPr>
        <w:fldChar w:fldCharType="end"/>
      </w:r>
    </w:p>
    <w:p>
      <w:pPr>
        <w:pStyle w:val="24"/>
        <w:bidi w:val="0"/>
        <w:rPr>
          <w:rFonts w:hint="eastAsia"/>
          <w:color w:val="auto"/>
          <w:highlight w:val="none"/>
          <w:lang w:val="en-US" w:eastAsia="zh-CN"/>
        </w:rPr>
      </w:pPr>
      <w:r>
        <w:rPr>
          <w:rFonts w:hint="eastAsia"/>
          <w:color w:val="auto"/>
          <w:highlight w:val="none"/>
        </w:rPr>
        <w:br w:type="page"/>
      </w:r>
      <w:bookmarkEnd w:id="14"/>
      <w:bookmarkEnd w:id="15"/>
      <w:bookmarkEnd w:id="16"/>
      <w:bookmarkEnd w:id="17"/>
      <w:bookmarkEnd w:id="18"/>
      <w:bookmarkStart w:id="20" w:name="_Toc4859"/>
      <w:bookmarkStart w:id="21" w:name="_Toc25668"/>
      <w:bookmarkStart w:id="22" w:name="_Toc30888"/>
      <w:bookmarkStart w:id="23" w:name="_Toc2482"/>
      <w:bookmarkStart w:id="24" w:name="_Toc7416"/>
      <w:r>
        <w:rPr>
          <w:rFonts w:hint="eastAsia"/>
          <w:color w:val="auto"/>
          <w:highlight w:val="none"/>
          <w:lang w:val="en-US" w:eastAsia="zh-CN"/>
        </w:rPr>
        <w:t>投标人须知</w:t>
      </w:r>
      <w:bookmarkEnd w:id="20"/>
      <w:bookmarkEnd w:id="21"/>
      <w:bookmarkEnd w:id="22"/>
      <w:bookmarkEnd w:id="23"/>
      <w:bookmarkEnd w:id="24"/>
    </w:p>
    <w:p>
      <w:pPr>
        <w:pStyle w:val="47"/>
        <w:bidi w:val="0"/>
        <w:rPr>
          <w:rFonts w:hint="eastAsia"/>
          <w:color w:val="auto"/>
          <w:highlight w:val="none"/>
        </w:rPr>
      </w:pPr>
      <w:bookmarkStart w:id="25" w:name="_Toc28824"/>
      <w:bookmarkStart w:id="26" w:name="_Toc213397010"/>
      <w:bookmarkStart w:id="27" w:name="_Toc6734"/>
      <w:bookmarkStart w:id="28" w:name="_Toc14035"/>
      <w:bookmarkStart w:id="29" w:name="_Toc213496268"/>
      <w:bookmarkStart w:id="30" w:name="_Toc31215"/>
      <w:bookmarkStart w:id="31" w:name="_Toc327196261"/>
      <w:bookmarkStart w:id="32" w:name="_Toc213396946"/>
      <w:bookmarkStart w:id="33" w:name="_Toc13062"/>
      <w:bookmarkStart w:id="34" w:name="_Toc189727030"/>
      <w:bookmarkStart w:id="35" w:name="_Toc213396760"/>
      <w:bookmarkStart w:id="36" w:name="_Toc217446032"/>
      <w:r>
        <w:rPr>
          <w:rFonts w:hint="eastAsia"/>
          <w:color w:val="auto"/>
          <w:highlight w:val="none"/>
        </w:rPr>
        <w:t>投标人须知</w:t>
      </w:r>
      <w:r>
        <w:rPr>
          <w:rFonts w:hint="eastAsia"/>
          <w:color w:val="auto"/>
          <w:highlight w:val="none"/>
          <w:lang w:val="en-US" w:eastAsia="zh-CN"/>
        </w:rPr>
        <w:t>前</w:t>
      </w:r>
      <w:r>
        <w:rPr>
          <w:rFonts w:hint="eastAsia"/>
          <w:color w:val="auto"/>
          <w:highlight w:val="none"/>
        </w:rPr>
        <w:t>附表</w:t>
      </w:r>
      <w:bookmarkEnd w:id="25"/>
      <w:bookmarkEnd w:id="26"/>
      <w:bookmarkEnd w:id="27"/>
      <w:bookmarkEnd w:id="28"/>
      <w:bookmarkEnd w:id="29"/>
      <w:bookmarkEnd w:id="30"/>
      <w:bookmarkEnd w:id="31"/>
      <w:bookmarkEnd w:id="32"/>
      <w:bookmarkEnd w:id="33"/>
      <w:bookmarkEnd w:id="34"/>
      <w:bookmarkEnd w:id="35"/>
      <w:bookmarkEnd w:id="36"/>
    </w:p>
    <w:tbl>
      <w:tblPr>
        <w:tblStyle w:val="18"/>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2009"/>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70" w:type="dxa"/>
            <w:vAlign w:val="center"/>
          </w:tcPr>
          <w:p>
            <w:pPr>
              <w:pStyle w:val="49"/>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b/>
                <w:bCs/>
                <w:color w:val="auto"/>
                <w:sz w:val="21"/>
                <w:szCs w:val="21"/>
                <w:highlight w:val="none"/>
                <w:lang w:val="zh-CN"/>
              </w:rPr>
            </w:pPr>
            <w:bookmarkStart w:id="37" w:name="_Toc327196262"/>
            <w:r>
              <w:rPr>
                <w:rFonts w:hint="eastAsia"/>
                <w:b/>
                <w:bCs/>
                <w:color w:val="auto"/>
                <w:sz w:val="21"/>
                <w:szCs w:val="21"/>
                <w:highlight w:val="none"/>
                <w:lang w:val="zh-CN"/>
              </w:rPr>
              <w:t>序号</w:t>
            </w: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b/>
                <w:bCs/>
                <w:color w:val="auto"/>
                <w:sz w:val="21"/>
                <w:szCs w:val="21"/>
                <w:highlight w:val="none"/>
                <w:lang w:val="zh-CN"/>
              </w:rPr>
            </w:pPr>
            <w:r>
              <w:rPr>
                <w:rFonts w:hint="eastAsia"/>
                <w:b/>
                <w:bCs/>
                <w:color w:val="auto"/>
                <w:sz w:val="21"/>
                <w:szCs w:val="21"/>
                <w:highlight w:val="none"/>
                <w:lang w:val="en-US" w:eastAsia="zh-CN"/>
              </w:rPr>
              <w:t>条款名称</w:t>
            </w:r>
            <w:r>
              <w:rPr>
                <w:rFonts w:hint="eastAsia"/>
                <w:b/>
                <w:bCs/>
                <w:color w:val="auto"/>
                <w:sz w:val="21"/>
                <w:szCs w:val="21"/>
                <w:highlight w:val="none"/>
                <w:lang w:val="zh-CN"/>
              </w:rPr>
              <w:t xml:space="preserve"> </w:t>
            </w:r>
          </w:p>
        </w:tc>
        <w:tc>
          <w:tcPr>
            <w:tcW w:w="7171"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b/>
                <w:bCs/>
                <w:color w:val="auto"/>
                <w:sz w:val="21"/>
                <w:szCs w:val="21"/>
                <w:highlight w:val="none"/>
                <w:lang w:val="zh-CN"/>
              </w:rPr>
            </w:pPr>
            <w:r>
              <w:rPr>
                <w:rFonts w:hint="eastAsia"/>
                <w:b/>
                <w:bCs/>
                <w:color w:val="auto"/>
                <w:sz w:val="21"/>
                <w:szCs w:val="21"/>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采购预算</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zh-CN"/>
              </w:rPr>
              <w:t>本项目</w:t>
            </w:r>
            <w:r>
              <w:rPr>
                <w:rFonts w:hint="eastAsia"/>
                <w:color w:val="auto"/>
                <w:sz w:val="21"/>
                <w:szCs w:val="21"/>
                <w:highlight w:val="none"/>
              </w:rPr>
              <w:t>采购</w:t>
            </w:r>
            <w:r>
              <w:rPr>
                <w:rFonts w:hint="eastAsia"/>
                <w:color w:val="auto"/>
                <w:sz w:val="21"/>
                <w:szCs w:val="21"/>
                <w:highlight w:val="none"/>
                <w:lang w:val="zh-CN"/>
              </w:rPr>
              <w:t>预算为人民币</w:t>
            </w:r>
            <w:r>
              <w:rPr>
                <w:rFonts w:hint="eastAsia" w:ascii="宋体" w:hAnsi="宋体" w:eastAsia="宋体" w:cs="宋体"/>
                <w:color w:val="auto"/>
                <w:sz w:val="21"/>
                <w:szCs w:val="21"/>
                <w:highlight w:val="none"/>
                <w:lang w:val="en-US" w:eastAsia="zh-CN"/>
              </w:rPr>
              <w:t>1315000</w:t>
            </w:r>
            <w:r>
              <w:rPr>
                <w:rFonts w:hint="eastAsia"/>
                <w:color w:val="auto"/>
                <w:sz w:val="21"/>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最高限价、报价要求</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zh-CN"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1.本项目最高限价为：人民币</w:t>
            </w:r>
            <w:r>
              <w:rPr>
                <w:rFonts w:hint="eastAsia" w:ascii="宋体" w:hAnsi="宋体" w:eastAsia="宋体" w:cs="宋体"/>
                <w:color w:val="auto"/>
                <w:sz w:val="21"/>
                <w:szCs w:val="21"/>
                <w:highlight w:val="none"/>
                <w:lang w:val="en-US" w:eastAsia="zh-CN"/>
              </w:rPr>
              <w:t>1315000</w:t>
            </w:r>
            <w:r>
              <w:rPr>
                <w:rFonts w:hint="eastAsia"/>
                <w:color w:val="auto"/>
                <w:sz w:val="21"/>
                <w:szCs w:val="21"/>
                <w:highlight w:val="none"/>
                <w:lang w:val="en-US" w:eastAsia="zh-CN"/>
              </w:rPr>
              <w:t>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lang w:val="zh-CN"/>
              </w:rPr>
              <w:t>本项目</w:t>
            </w:r>
            <w:r>
              <w:rPr>
                <w:rFonts w:hint="eastAsia"/>
                <w:color w:val="auto"/>
                <w:sz w:val="21"/>
                <w:szCs w:val="21"/>
                <w:highlight w:val="none"/>
              </w:rPr>
              <w:t>投标报价</w:t>
            </w:r>
            <w:r>
              <w:rPr>
                <w:rFonts w:hint="eastAsia"/>
                <w:color w:val="auto"/>
                <w:sz w:val="21"/>
                <w:szCs w:val="21"/>
                <w:highlight w:val="none"/>
                <w:lang w:val="zh-CN"/>
              </w:rPr>
              <w:t>不</w:t>
            </w:r>
            <w:r>
              <w:rPr>
                <w:rFonts w:hint="eastAsia"/>
                <w:color w:val="auto"/>
                <w:sz w:val="21"/>
                <w:szCs w:val="21"/>
                <w:highlight w:val="none"/>
                <w:lang w:val="en-US" w:eastAsia="zh-CN"/>
              </w:rPr>
              <w:t>得</w:t>
            </w:r>
            <w:r>
              <w:rPr>
                <w:rFonts w:hint="eastAsia"/>
                <w:color w:val="auto"/>
                <w:sz w:val="21"/>
                <w:szCs w:val="21"/>
                <w:highlight w:val="none"/>
                <w:lang w:val="zh-CN"/>
              </w:rPr>
              <w:t>超过</w:t>
            </w:r>
            <w:r>
              <w:rPr>
                <w:rFonts w:hint="eastAsia"/>
                <w:color w:val="auto"/>
                <w:sz w:val="21"/>
                <w:szCs w:val="21"/>
                <w:highlight w:val="none"/>
                <w:lang w:val="en-US" w:eastAsia="zh-CN"/>
              </w:rPr>
              <w:t>最高限价</w:t>
            </w:r>
            <w:r>
              <w:rPr>
                <w:rFonts w:hint="eastAsia"/>
                <w:color w:val="auto"/>
                <w:sz w:val="21"/>
                <w:szCs w:val="21"/>
                <w:highlight w:val="none"/>
                <w:lang w:val="zh-CN" w:eastAsia="zh-CN"/>
              </w:rPr>
              <w:t>，</w:t>
            </w:r>
            <w:r>
              <w:rPr>
                <w:rFonts w:hint="eastAsia"/>
                <w:color w:val="auto"/>
                <w:sz w:val="21"/>
                <w:szCs w:val="21"/>
                <w:highlight w:val="none"/>
              </w:rPr>
              <w:t>否则将被视为无效投标</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项目属性</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本项目属于货物</w:t>
            </w:r>
            <w:r>
              <w:rPr>
                <w:rFonts w:hint="eastAsia" w:ascii="宋体" w:hAnsi="宋体" w:eastAsia="宋体"/>
                <w:color w:val="auto"/>
                <w:sz w:val="21"/>
                <w:szCs w:val="21"/>
                <w:highlight w:val="none"/>
                <w:lang w:val="en-US" w:eastAsia="zh-CN"/>
              </w:rPr>
              <w:t>类采购项目，不对其中涉及的服务</w:t>
            </w:r>
            <w:r>
              <w:rPr>
                <w:rFonts w:hint="eastAsia"/>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综合布线</w:t>
            </w:r>
            <w:r>
              <w:rPr>
                <w:rFonts w:hint="eastAsia"/>
                <w:b w:val="0"/>
                <w:bCs w:val="0"/>
                <w:color w:val="auto"/>
                <w:sz w:val="21"/>
                <w:szCs w:val="21"/>
                <w:highlight w:val="none"/>
                <w:lang w:val="en-US" w:eastAsia="zh-CN"/>
              </w:rPr>
              <w:t>)</w:t>
            </w:r>
            <w:r>
              <w:rPr>
                <w:rFonts w:hint="eastAsia" w:ascii="宋体" w:hAnsi="宋体" w:eastAsia="宋体"/>
                <w:color w:val="auto"/>
                <w:sz w:val="21"/>
                <w:szCs w:val="21"/>
                <w:highlight w:val="none"/>
                <w:lang w:val="en-US" w:eastAsia="zh-CN"/>
              </w:rPr>
              <w:t>的承接商是否享受中小企业扶持政策作出要求。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本项目所属行业</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本项目所属行业</w:t>
            </w:r>
            <w:r>
              <w:rPr>
                <w:rFonts w:hint="eastAsia" w:cs="宋体"/>
                <w:color w:val="auto"/>
                <w:sz w:val="21"/>
                <w:szCs w:val="21"/>
                <w:highlight w:val="none"/>
                <w:lang w:val="en-US" w:eastAsia="zh-CN"/>
              </w:rPr>
              <w:t>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r>
              <w:rPr>
                <w:rFonts w:hint="eastAsia"/>
                <w:color w:val="auto"/>
                <w:sz w:val="21"/>
                <w:szCs w:val="21"/>
                <w:highlight w:val="none"/>
                <w:lang w:val="zh-CN"/>
              </w:rPr>
              <w:t>定向采购</w:t>
            </w:r>
          </w:p>
        </w:tc>
        <w:tc>
          <w:tcPr>
            <w:tcW w:w="7171" w:type="dxa"/>
            <w:vAlign w:val="center"/>
          </w:tcPr>
          <w:p>
            <w:pPr>
              <w:pStyle w:val="46"/>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textAlignment w:val="auto"/>
              <w:rPr>
                <w:rFonts w:hint="eastAsia"/>
                <w:color w:val="auto"/>
                <w:sz w:val="21"/>
                <w:szCs w:val="21"/>
                <w:highlight w:val="none"/>
                <w:lang w:val="en-US" w:eastAsia="zh-CN"/>
              </w:rPr>
            </w:pPr>
            <w:r>
              <w:rPr>
                <w:rFonts w:hint="eastAsia"/>
                <w:color w:val="auto"/>
                <w:sz w:val="21"/>
                <w:szCs w:val="21"/>
                <w:highlight w:val="none"/>
              </w:rPr>
              <w:t>本项目为</w:t>
            </w:r>
            <w:r>
              <w:rPr>
                <w:rFonts w:hint="eastAsia"/>
                <w:color w:val="auto"/>
                <w:sz w:val="21"/>
                <w:szCs w:val="21"/>
                <w:highlight w:val="none"/>
                <w:lang w:val="zh-CN"/>
              </w:rPr>
              <w:t>非专门面向中小</w:t>
            </w:r>
            <w:r>
              <w:rPr>
                <w:rFonts w:hint="eastAsia"/>
                <w:color w:val="auto"/>
                <w:sz w:val="21"/>
                <w:szCs w:val="21"/>
                <w:highlight w:val="none"/>
                <w:lang w:val="en-US" w:eastAsia="zh-CN"/>
              </w:rPr>
              <w:t>微</w:t>
            </w:r>
            <w:r>
              <w:rPr>
                <w:rFonts w:hint="eastAsia"/>
                <w:color w:val="auto"/>
                <w:sz w:val="21"/>
                <w:szCs w:val="21"/>
                <w:highlight w:val="none"/>
                <w:lang w:val="zh-CN"/>
              </w:rPr>
              <w:t>企业</w:t>
            </w:r>
            <w:r>
              <w:rPr>
                <w:rFonts w:hint="eastAsia"/>
                <w:color w:val="auto"/>
                <w:sz w:val="21"/>
                <w:szCs w:val="21"/>
                <w:highlight w:val="none"/>
              </w:rPr>
              <w:t>采购</w:t>
            </w:r>
            <w:r>
              <w:rPr>
                <w:rFonts w:hint="eastAsia"/>
                <w:color w:val="auto"/>
                <w:sz w:val="21"/>
                <w:szCs w:val="21"/>
                <w:highlight w:val="none"/>
                <w:lang w:val="zh-CN"/>
              </w:rPr>
              <w:t>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是否允许进口产品</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投标</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本项目不允许进口产品投标，</w:t>
            </w:r>
            <w:r>
              <w:rPr>
                <w:rFonts w:hint="eastAsia"/>
                <w:color w:val="auto"/>
                <w:sz w:val="21"/>
                <w:szCs w:val="21"/>
                <w:highlight w:val="none"/>
                <w:lang w:val="zh-CN"/>
              </w:rPr>
              <w:t>根据《中华人民共和国政府采购法》第十条的规定，本项目采购本国</w:t>
            </w:r>
            <w:r>
              <w:rPr>
                <w:rFonts w:hint="eastAsia"/>
                <w:color w:val="auto"/>
                <w:sz w:val="21"/>
                <w:szCs w:val="21"/>
                <w:highlight w:val="none"/>
                <w:lang w:val="en-US" w:eastAsia="zh-CN"/>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zh-CN"/>
              </w:rPr>
              <w:t>采购方式</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zh-CN"/>
              </w:rPr>
              <w:t>评标方法</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合同分包</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本项目不允许供应商以合同分包形式进行投标。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联合体投标</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投标有效期</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提交投标文件的截止之日起90日。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备选投标方案和报价</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本项目不接受备选投标方案和多个报价。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履约验收</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完成供货安装调试完毕后，书面通知采购人验收。采购人接到项目初验收书面通知后10个日历天内组织初步验收；初步验收合格后，进入试运行，试运行期为30日历天，试运行期间发生一般性质量问题，修复后试用期相应顺延，试运行结束后，且经采购人最终验收合格后，签署《验收报告单》；验收不合格，供应商应在采购人限定的时间内整改后重新验收。再次验收不合格则视为供应商违约，供应商并承担相应的违约责任。</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2.验收标准：按采购人招标文件的质量要求和技术指标、供应商的投标文件及承诺与本合同约定标准进行验收。</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3.供应商应将所提供货物的装箱清单、配件、随机工具、用户使用手册、原厂保修卡等资料交付给采购人；供应商不能完整交付货物及本款规定的单证和工具的，负责补齐，否则视为未按合同约定交货。</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4.其他未尽事宜</w:t>
            </w:r>
            <w:r>
              <w:rPr>
                <w:rFonts w:hint="eastAsia"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按照《财政部关于进一步加强政府采购需求和履约验收管理的指导意见》(财库〔2016〕205 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现场</w:t>
            </w:r>
            <w:r>
              <w:rPr>
                <w:rFonts w:hint="eastAsia"/>
                <w:color w:val="auto"/>
                <w:sz w:val="21"/>
                <w:szCs w:val="21"/>
                <w:highlight w:val="none"/>
                <w:lang w:val="en-US" w:eastAsia="zh-CN"/>
              </w:rPr>
              <w:t>考察、标前</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答疑</w:t>
            </w:r>
            <w:r>
              <w:rPr>
                <w:rFonts w:hint="eastAsia"/>
                <w:color w:val="auto"/>
                <w:sz w:val="21"/>
                <w:szCs w:val="21"/>
                <w:highlight w:val="none"/>
                <w:lang w:val="en-US" w:eastAsia="zh-CN"/>
              </w:rPr>
              <w:t>会</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采购人、采购代理机构可以视采购项目的具体情况，组织</w:t>
            </w:r>
            <w:r>
              <w:rPr>
                <w:rFonts w:hint="eastAsia"/>
                <w:color w:val="auto"/>
                <w:sz w:val="21"/>
                <w:szCs w:val="21"/>
                <w:highlight w:val="none"/>
                <w:lang w:eastAsia="zh-CN"/>
              </w:rPr>
              <w:t>投标人</w:t>
            </w:r>
            <w:r>
              <w:rPr>
                <w:rFonts w:hint="eastAsia"/>
                <w:color w:val="auto"/>
                <w:sz w:val="21"/>
                <w:szCs w:val="21"/>
                <w:highlight w:val="none"/>
              </w:rPr>
              <w:t>进行现场考察或</w:t>
            </w:r>
            <w:r>
              <w:rPr>
                <w:rFonts w:hint="eastAsia"/>
                <w:color w:val="auto"/>
                <w:sz w:val="21"/>
                <w:szCs w:val="21"/>
                <w:highlight w:val="none"/>
                <w:lang w:eastAsia="zh-CN"/>
              </w:rPr>
              <w:t>开标</w:t>
            </w:r>
            <w:r>
              <w:rPr>
                <w:rFonts w:hint="eastAsia"/>
                <w:color w:val="auto"/>
                <w:sz w:val="21"/>
                <w:szCs w:val="21"/>
                <w:highlight w:val="none"/>
              </w:rPr>
              <w:t>前答疑会，但不得单独或分别组织只有一个</w:t>
            </w:r>
            <w:r>
              <w:rPr>
                <w:rFonts w:hint="eastAsia"/>
                <w:color w:val="auto"/>
                <w:sz w:val="21"/>
                <w:szCs w:val="21"/>
                <w:highlight w:val="none"/>
                <w:lang w:eastAsia="zh-CN"/>
              </w:rPr>
              <w:t>投标人</w:t>
            </w:r>
            <w:r>
              <w:rPr>
                <w:rFonts w:hint="eastAsia"/>
                <w:color w:val="auto"/>
                <w:sz w:val="21"/>
                <w:szCs w:val="21"/>
                <w:highlight w:val="none"/>
              </w:rPr>
              <w:t>参加的现场考察和答疑会。若组织答疑会和现场考察以采购代理机构通知为准。</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lang w:eastAsia="zh-CN"/>
              </w:rPr>
              <w:t>投标人</w:t>
            </w:r>
            <w:r>
              <w:rPr>
                <w:rFonts w:hint="eastAsia"/>
                <w:color w:val="auto"/>
                <w:sz w:val="21"/>
                <w:szCs w:val="21"/>
                <w:highlight w:val="none"/>
              </w:rPr>
              <w:t>考察现场所发生的一切费用由</w:t>
            </w:r>
            <w:r>
              <w:rPr>
                <w:rFonts w:hint="eastAsia"/>
                <w:color w:val="auto"/>
                <w:sz w:val="21"/>
                <w:szCs w:val="21"/>
                <w:highlight w:val="none"/>
                <w:lang w:eastAsia="zh-CN"/>
              </w:rPr>
              <w:t>投标人</w:t>
            </w:r>
            <w:r>
              <w:rPr>
                <w:rFonts w:hint="eastAsia"/>
                <w:color w:val="auto"/>
                <w:sz w:val="21"/>
                <w:szCs w:val="21"/>
                <w:highlight w:val="none"/>
                <w:lang w:val="en-US" w:eastAsia="zh-CN"/>
              </w:rPr>
              <w:t>自行</w:t>
            </w:r>
            <w:r>
              <w:rPr>
                <w:rFonts w:hint="eastAsia"/>
                <w:color w:val="auto"/>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zh-CN"/>
              </w:rPr>
              <w:t>投标保证金</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低于成本价不正当竞争预防措施</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eastAsia="zh-CN"/>
              </w:rPr>
              <w:t>(</w:t>
            </w:r>
            <w:r>
              <w:rPr>
                <w:rFonts w:hint="eastAsia"/>
                <w:color w:val="auto"/>
                <w:sz w:val="21"/>
                <w:szCs w:val="21"/>
                <w:highlight w:val="none"/>
              </w:rPr>
              <w:t>实质性要求</w:t>
            </w:r>
            <w:r>
              <w:rPr>
                <w:rFonts w:hint="eastAsia"/>
                <w:color w:val="auto"/>
                <w:sz w:val="21"/>
                <w:szCs w:val="21"/>
                <w:highlight w:val="none"/>
                <w:lang w:eastAsia="zh-CN"/>
              </w:rPr>
              <w:t>)</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rPr>
              <w:t>小微企业、监狱企业</w:t>
            </w:r>
            <w:r>
              <w:rPr>
                <w:rFonts w:hint="eastAsia"/>
                <w:color w:val="auto"/>
                <w:sz w:val="21"/>
                <w:szCs w:val="21"/>
                <w:highlight w:val="none"/>
                <w:lang w:eastAsia="zh-CN"/>
              </w:rPr>
              <w:t>、</w:t>
            </w:r>
            <w:r>
              <w:rPr>
                <w:rFonts w:hint="eastAsia"/>
                <w:color w:val="auto"/>
                <w:sz w:val="21"/>
                <w:szCs w:val="21"/>
                <w:highlight w:val="none"/>
                <w:lang w:val="en-US" w:eastAsia="zh-CN"/>
              </w:rPr>
              <w:t>残疾人福利性单位</w:t>
            </w:r>
            <w:r>
              <w:rPr>
                <w:rFonts w:hint="eastAsia"/>
                <w:color w:val="auto"/>
                <w:sz w:val="21"/>
                <w:szCs w:val="21"/>
                <w:highlight w:val="none"/>
              </w:rPr>
              <w:t>价格扣除</w:t>
            </w:r>
            <w:r>
              <w:rPr>
                <w:rFonts w:hint="eastAsia"/>
                <w:color w:val="auto"/>
                <w:sz w:val="21"/>
                <w:szCs w:val="21"/>
                <w:highlight w:val="none"/>
                <w:lang w:eastAsia="zh-CN"/>
              </w:rPr>
              <w:t>、</w:t>
            </w:r>
            <w:r>
              <w:rPr>
                <w:rFonts w:hint="eastAsia" w:ascii="宋体" w:hAnsi="宋体" w:eastAsia="宋体" w:cs="宋体"/>
                <w:color w:val="auto"/>
                <w:sz w:val="21"/>
                <w:szCs w:val="21"/>
                <w:highlight w:val="none"/>
              </w:rPr>
              <w:t>扶持少数民族地区</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实质性要求</w:t>
            </w:r>
            <w:r>
              <w:rPr>
                <w:rFonts w:hint="eastAsia"/>
                <w:color w:val="auto"/>
                <w:sz w:val="21"/>
                <w:szCs w:val="21"/>
                <w:highlight w:val="none"/>
                <w:lang w:eastAsia="zh-CN"/>
              </w:rPr>
              <w:t>)</w:t>
            </w:r>
          </w:p>
        </w:tc>
        <w:tc>
          <w:tcPr>
            <w:tcW w:w="7171" w:type="dxa"/>
            <w:vAlign w:val="center"/>
          </w:tcPr>
          <w:p>
            <w:pPr>
              <w:pStyle w:val="46"/>
              <w:keepNext w:val="0"/>
              <w:keepLines w:val="0"/>
              <w:pageBreakBefore w:val="0"/>
              <w:widowControl w:val="0"/>
              <w:numPr>
                <w:ilvl w:val="0"/>
                <w:numId w:val="9"/>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政府采购促进中小企业发展</w:t>
            </w:r>
            <w:r>
              <w:rPr>
                <w:rFonts w:hint="eastAsia"/>
                <w:color w:val="auto"/>
                <w:sz w:val="21"/>
                <w:szCs w:val="21"/>
                <w:highlight w:val="none"/>
                <w:lang w:val="en-US" w:eastAsia="zh-CN"/>
              </w:rPr>
              <w:t>政策</w:t>
            </w:r>
          </w:p>
          <w:p>
            <w:pPr>
              <w:pStyle w:val="46"/>
              <w:keepNext w:val="0"/>
              <w:keepLines w:val="0"/>
              <w:pageBreakBefore w:val="0"/>
              <w:widowControl w:val="0"/>
              <w:numPr>
                <w:ilvl w:val="0"/>
                <w:numId w:val="10"/>
              </w:numPr>
              <w:tabs>
                <w:tab w:val="clear" w:pos="312"/>
              </w:tabs>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b/>
                <w:bCs/>
                <w:color w:val="auto"/>
                <w:sz w:val="21"/>
                <w:szCs w:val="21"/>
                <w:highlight w:val="none"/>
                <w:lang w:val="en-US" w:eastAsia="zh-CN"/>
              </w:rPr>
              <w:t>定义：</w:t>
            </w:r>
            <w:r>
              <w:rPr>
                <w:rFonts w:hint="eastAsia"/>
                <w:color w:val="auto"/>
                <w:sz w:val="21"/>
                <w:szCs w:val="21"/>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6"/>
              <w:keepNext w:val="0"/>
              <w:keepLines w:val="0"/>
              <w:pageBreakBefore w:val="0"/>
              <w:widowControl w:val="0"/>
              <w:numPr>
                <w:ilvl w:val="0"/>
                <w:numId w:val="10"/>
              </w:numPr>
              <w:tabs>
                <w:tab w:val="clear" w:pos="312"/>
              </w:tabs>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b/>
                <w:bCs/>
                <w:color w:val="auto"/>
                <w:sz w:val="21"/>
                <w:szCs w:val="21"/>
                <w:highlight w:val="none"/>
                <w:lang w:val="en-US" w:eastAsia="zh-CN"/>
              </w:rPr>
              <w:t>适用情形：</w:t>
            </w:r>
            <w:r>
              <w:rPr>
                <w:rFonts w:hint="eastAsia"/>
                <w:color w:val="auto"/>
                <w:sz w:val="21"/>
                <w:szCs w:val="21"/>
                <w:highlight w:val="none"/>
                <w:lang w:val="en-US" w:eastAsia="zh-CN"/>
              </w:rPr>
              <w:t>(1)在货物采购项目中，货物由中小企业制造，即货物由中小企业生产且使用该中小企业商号或者注册商标；</w:t>
            </w:r>
          </w:p>
          <w:p>
            <w:pPr>
              <w:pStyle w:val="46"/>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(2)在货物采购项目中，供应商提供的货物既有中小企业制造货物，也有大型企业制造货物的，不享受本办法规定的中小企业扶持政策。</w:t>
            </w:r>
          </w:p>
          <w:p>
            <w:pPr>
              <w:pStyle w:val="46"/>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(3)以联合体形式参加政府采购活动，联合体各方均为中小企业的，联合体视同中小企业。其中，联合体各方均为小微企业的，联合体视同小微企业。</w:t>
            </w:r>
          </w:p>
          <w:p>
            <w:pPr>
              <w:pStyle w:val="46"/>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注：关于中小微型企业划分标准详见附件二。</w:t>
            </w:r>
          </w:p>
          <w:p>
            <w:pPr>
              <w:pStyle w:val="46"/>
              <w:keepNext w:val="0"/>
              <w:keepLines w:val="0"/>
              <w:pageBreakBefore w:val="0"/>
              <w:widowControl w:val="0"/>
              <w:numPr>
                <w:ilvl w:val="0"/>
                <w:numId w:val="10"/>
              </w:numPr>
              <w:tabs>
                <w:tab w:val="clear" w:pos="312"/>
              </w:tabs>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执行方式：</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pacing w:val="-8"/>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根据关于印发《政府采购促进中小企业发展管理办法》的通知</w:t>
            </w:r>
            <w:r>
              <w:rPr>
                <w:rFonts w:hint="eastAsia"/>
                <w:color w:val="auto"/>
                <w:sz w:val="21"/>
                <w:szCs w:val="21"/>
                <w:highlight w:val="none"/>
                <w:lang w:eastAsia="zh-CN"/>
              </w:rPr>
              <w:t>(财库〔2020〕46号)、四川省人民政府关于印发进一步规范政府采购监管和执行若干规定的通知川府发〔2018〕14号</w:t>
            </w:r>
            <w:r>
              <w:rPr>
                <w:rFonts w:hint="eastAsia"/>
                <w:color w:val="auto"/>
                <w:sz w:val="21"/>
                <w:szCs w:val="21"/>
                <w:highlight w:val="none"/>
              </w:rPr>
              <w:t>的规定，对小型和微型企业的价格给予</w:t>
            </w:r>
            <w:r>
              <w:rPr>
                <w:rFonts w:hint="eastAsia"/>
                <w:color w:val="auto"/>
                <w:sz w:val="21"/>
                <w:szCs w:val="21"/>
                <w:highlight w:val="none"/>
                <w:lang w:val="en-US" w:eastAsia="zh-CN"/>
              </w:rPr>
              <w:t>10</w:t>
            </w:r>
            <w:r>
              <w:rPr>
                <w:rFonts w:hint="eastAsia"/>
                <w:color w:val="auto"/>
                <w:sz w:val="21"/>
                <w:szCs w:val="21"/>
                <w:highlight w:val="none"/>
              </w:rPr>
              <w:t>%的价格扣除，用扣除后的价格参与评审</w:t>
            </w:r>
            <w:r>
              <w:rPr>
                <w:rFonts w:hint="eastAsia"/>
                <w:color w:val="auto"/>
                <w:sz w:val="21"/>
                <w:szCs w:val="21"/>
                <w:highlight w:val="none"/>
                <w:lang w:eastAsia="zh-CN"/>
              </w:rPr>
              <w:t>(</w:t>
            </w:r>
            <w:r>
              <w:rPr>
                <w:rFonts w:hint="eastAsia"/>
                <w:color w:val="auto"/>
                <w:sz w:val="21"/>
                <w:szCs w:val="21"/>
                <w:highlight w:val="none"/>
                <w:lang w:val="en-US" w:eastAsia="zh-CN"/>
              </w:rPr>
              <w:t>适用于</w:t>
            </w:r>
            <w:r>
              <w:rPr>
                <w:color w:val="auto"/>
                <w:spacing w:val="8"/>
                <w:sz w:val="21"/>
                <w:szCs w:val="21"/>
                <w:highlight w:val="none"/>
              </w:rPr>
              <w:t>经主管预算单位统筹后未预留份额专门</w:t>
            </w:r>
            <w:r>
              <w:rPr>
                <w:color w:val="auto"/>
                <w:sz w:val="21"/>
                <w:szCs w:val="21"/>
                <w:highlight w:val="none"/>
              </w:rPr>
              <w:t>面向中小企业采购的采购项目，以及</w:t>
            </w:r>
            <w:r>
              <w:rPr>
                <w:color w:val="auto"/>
                <w:spacing w:val="-8"/>
                <w:sz w:val="21"/>
                <w:szCs w:val="21"/>
                <w:highlight w:val="none"/>
              </w:rPr>
              <w:t>预留份额项目中的非预留部分采购包</w:t>
            </w:r>
            <w:r>
              <w:rPr>
                <w:rFonts w:hint="eastAsia"/>
                <w:color w:val="auto"/>
                <w:spacing w:val="-8"/>
                <w:sz w:val="21"/>
                <w:szCs w:val="21"/>
                <w:highlight w:val="none"/>
                <w:lang w:eastAsia="zh-CN"/>
              </w:rPr>
              <w:t>)</w:t>
            </w:r>
            <w:r>
              <w:rPr>
                <w:rFonts w:hint="eastAsia"/>
                <w:color w:val="auto"/>
                <w:spacing w:val="-8"/>
                <w:sz w:val="21"/>
                <w:szCs w:val="21"/>
                <w:highlight w:val="none"/>
              </w:rPr>
              <w:t>。</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pacing w:val="-8"/>
                <w:sz w:val="21"/>
                <w:szCs w:val="21"/>
                <w:highlight w:val="none"/>
              </w:rPr>
            </w:pPr>
            <w:r>
              <w:rPr>
                <w:rFonts w:hint="eastAsia"/>
                <w:color w:val="auto"/>
                <w:spacing w:val="-8"/>
                <w:sz w:val="21"/>
                <w:szCs w:val="21"/>
                <w:highlight w:val="none"/>
                <w:lang w:eastAsia="zh-CN"/>
              </w:rPr>
              <w:t>(</w:t>
            </w:r>
            <w:r>
              <w:rPr>
                <w:rFonts w:hint="eastAsia"/>
                <w:color w:val="auto"/>
                <w:spacing w:val="-8"/>
                <w:sz w:val="21"/>
                <w:szCs w:val="21"/>
                <w:highlight w:val="none"/>
                <w:lang w:val="en-US" w:eastAsia="zh-CN"/>
              </w:rPr>
              <w:t>2</w:t>
            </w:r>
            <w:r>
              <w:rPr>
                <w:rFonts w:hint="eastAsia"/>
                <w:color w:val="auto"/>
                <w:spacing w:val="-8"/>
                <w:sz w:val="21"/>
                <w:szCs w:val="21"/>
                <w:highlight w:val="none"/>
                <w:lang w:eastAsia="zh-CN"/>
              </w:rPr>
              <w:t>)中小企业参加政府采购活动，应当出具《中小企业声明函》(</w:t>
            </w:r>
            <w:r>
              <w:rPr>
                <w:rFonts w:hint="eastAsia"/>
                <w:color w:val="auto"/>
                <w:spacing w:val="-8"/>
                <w:sz w:val="21"/>
                <w:szCs w:val="21"/>
                <w:highlight w:val="none"/>
                <w:lang w:val="en-US" w:eastAsia="zh-CN"/>
              </w:rPr>
              <w:t>格式详见招标文件</w:t>
            </w:r>
            <w:r>
              <w:rPr>
                <w:rFonts w:hint="eastAsia"/>
                <w:color w:val="auto"/>
                <w:spacing w:val="-8"/>
                <w:sz w:val="21"/>
                <w:szCs w:val="21"/>
                <w:highlight w:val="none"/>
                <w:lang w:eastAsia="zh-CN"/>
              </w:rPr>
              <w:t>)，否则不得享受相关中小企业扶持政策</w:t>
            </w:r>
            <w:r>
              <w:rPr>
                <w:rFonts w:hint="eastAsia"/>
                <w:color w:val="auto"/>
                <w:spacing w:val="-8"/>
                <w:sz w:val="21"/>
                <w:szCs w:val="21"/>
                <w:highlight w:val="none"/>
              </w:rPr>
              <w:t>。</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投标人应当对其出具的《中小企业声明函》真实性负责，投标人出具的《中小企业声明函》内容不实的，属于提供虚假材料谋取中标。在实际操作中，投标人希望获得《办法》规定政策支持的，应从制造商处获得充分、准确的信息。对相关制造商信息了解不充分，或者不能确定相关信息真实、准确的，不建议出具《中小企业声明函》。</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b/>
                <w:bCs/>
                <w:color w:val="auto"/>
                <w:sz w:val="21"/>
                <w:szCs w:val="21"/>
                <w:highlight w:val="none"/>
                <w:lang w:val="en-US" w:eastAsia="zh-CN"/>
              </w:rPr>
            </w:pPr>
            <w:r>
              <w:rPr>
                <w:rFonts w:hint="eastAsia"/>
                <w:color w:val="auto"/>
                <w:spacing w:val="-8"/>
                <w:sz w:val="21"/>
                <w:szCs w:val="21"/>
                <w:highlight w:val="none"/>
                <w:lang w:val="en-US" w:eastAsia="zh-CN"/>
              </w:rPr>
              <w:t>(4)对</w:t>
            </w:r>
            <w:r>
              <w:rPr>
                <w:color w:val="auto"/>
                <w:spacing w:val="-8"/>
                <w:sz w:val="21"/>
                <w:szCs w:val="21"/>
                <w:highlight w:val="none"/>
              </w:rPr>
              <w:t>接受大中型企业与小微企业组成联合体</w:t>
            </w:r>
            <w:r>
              <w:rPr>
                <w:color w:val="auto"/>
                <w:spacing w:val="-8"/>
                <w:w w:val="100"/>
                <w:sz w:val="21"/>
                <w:szCs w:val="21"/>
                <w:highlight w:val="none"/>
              </w:rPr>
              <w:t>或者允许大中</w:t>
            </w:r>
            <w:r>
              <w:rPr>
                <w:color w:val="auto"/>
                <w:spacing w:val="-8"/>
                <w:sz w:val="21"/>
                <w:szCs w:val="21"/>
                <w:highlight w:val="none"/>
              </w:rPr>
              <w:t>型企业向一家或者多家小微企业分包的采购项目，对于联合协议</w:t>
            </w:r>
            <w:r>
              <w:rPr>
                <w:color w:val="auto"/>
                <w:spacing w:val="-8"/>
                <w:w w:val="100"/>
                <w:sz w:val="21"/>
                <w:szCs w:val="21"/>
                <w:highlight w:val="none"/>
              </w:rPr>
              <w:t>或者分包</w:t>
            </w:r>
            <w:r>
              <w:rPr>
                <w:color w:val="auto"/>
                <w:spacing w:val="-8"/>
                <w:sz w:val="21"/>
                <w:szCs w:val="21"/>
                <w:highlight w:val="none"/>
              </w:rPr>
              <w:t>意向协议约定小微企业的合同份额占到合同总金额 30%以上的，采购人、采购代理机构应当对联合体或者大中型企业的报价给予3%的扣除，用扣除后的价格参加评审</w:t>
            </w:r>
            <w:r>
              <w:rPr>
                <w:rFonts w:hint="eastAsia"/>
                <w:color w:val="auto"/>
                <w:spacing w:val="-8"/>
                <w:sz w:val="21"/>
                <w:szCs w:val="21"/>
                <w:highlight w:val="none"/>
                <w:lang w:eastAsia="zh-CN"/>
              </w:rPr>
              <w:t>(</w:t>
            </w:r>
            <w:r>
              <w:rPr>
                <w:color w:val="auto"/>
                <w:spacing w:val="-8"/>
                <w:sz w:val="21"/>
                <w:szCs w:val="21"/>
                <w:highlight w:val="none"/>
              </w:rPr>
              <w:t>组成联合体或者接受分包的小微企业与联合体内其他企业、分包企业之间存在直接控股、管理关系的，不享受价格扣除优惠政策</w:t>
            </w:r>
            <w:r>
              <w:rPr>
                <w:rFonts w:hint="eastAsia"/>
                <w:color w:val="auto"/>
                <w:spacing w:val="-8"/>
                <w:sz w:val="21"/>
                <w:szCs w:val="21"/>
                <w:highlight w:val="none"/>
                <w:lang w:eastAsia="zh-CN"/>
              </w:rPr>
              <w:t>)。</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二、监狱企业价格扣除</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1.根据财政部司法部关于政府采购支持监狱企业发展有关问题的通知财库〔2014〕68号的规定，在政府采购活动中，监狱企业视同小型、微型企业，享受预留份额、评审中价格扣除等政府采购促进中小企业发展的政府采购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2.本项目对监狱企业</w:t>
            </w:r>
            <w:r>
              <w:rPr>
                <w:rFonts w:hint="eastAsia"/>
                <w:color w:val="auto"/>
                <w:sz w:val="21"/>
                <w:szCs w:val="21"/>
                <w:highlight w:val="none"/>
                <w:lang w:eastAsia="zh-CN"/>
              </w:rPr>
              <w:t>参与投标</w:t>
            </w:r>
            <w:r>
              <w:rPr>
                <w:rFonts w:hint="eastAsia"/>
                <w:color w:val="auto"/>
                <w:sz w:val="21"/>
                <w:szCs w:val="21"/>
                <w:highlight w:val="none"/>
              </w:rPr>
              <w:t>的价格给予</w:t>
            </w:r>
            <w:r>
              <w:rPr>
                <w:rFonts w:hint="eastAsia"/>
                <w:color w:val="auto"/>
                <w:sz w:val="21"/>
                <w:szCs w:val="21"/>
                <w:highlight w:val="none"/>
                <w:lang w:val="en-US" w:eastAsia="zh-CN"/>
              </w:rPr>
              <w:t>10</w:t>
            </w:r>
            <w:r>
              <w:rPr>
                <w:rFonts w:hint="eastAsia"/>
                <w:color w:val="auto"/>
                <w:sz w:val="21"/>
                <w:szCs w:val="21"/>
                <w:highlight w:val="none"/>
              </w:rPr>
              <w:t>%的扣除，用扣除后的价格参与评审。</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3.监狱企业参加政府采购活动时，应当提供由省级以上监狱管理局、戒毒管理局</w:t>
            </w:r>
            <w:r>
              <w:rPr>
                <w:rFonts w:hint="eastAsia"/>
                <w:color w:val="auto"/>
                <w:sz w:val="21"/>
                <w:szCs w:val="21"/>
                <w:highlight w:val="none"/>
                <w:lang w:eastAsia="zh-CN"/>
              </w:rPr>
              <w:t>(</w:t>
            </w:r>
            <w:r>
              <w:rPr>
                <w:rFonts w:hint="eastAsia"/>
                <w:color w:val="auto"/>
                <w:sz w:val="21"/>
                <w:szCs w:val="21"/>
                <w:highlight w:val="none"/>
              </w:rPr>
              <w:t>含新疆生产建设兵团</w:t>
            </w:r>
            <w:r>
              <w:rPr>
                <w:rFonts w:hint="eastAsia"/>
                <w:color w:val="auto"/>
                <w:sz w:val="21"/>
                <w:szCs w:val="21"/>
                <w:highlight w:val="none"/>
                <w:lang w:eastAsia="zh-CN"/>
              </w:rPr>
              <w:t>)</w:t>
            </w:r>
            <w:r>
              <w:rPr>
                <w:rFonts w:hint="eastAsia"/>
                <w:color w:val="auto"/>
                <w:sz w:val="21"/>
                <w:szCs w:val="21"/>
                <w:highlight w:val="none"/>
              </w:rPr>
              <w:t>出具的属于监狱企业的证明文件。</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监狱企业</w:t>
            </w:r>
            <w:r>
              <w:rPr>
                <w:rFonts w:hint="eastAsia"/>
                <w:color w:val="auto"/>
                <w:sz w:val="21"/>
                <w:szCs w:val="21"/>
                <w:highlight w:val="none"/>
                <w:lang w:val="en-US" w:eastAsia="zh-CN"/>
              </w:rPr>
              <w:t>属于小型、微型企业的，不重复享受政策。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三、残疾人福利性单位</w:t>
            </w:r>
            <w:r>
              <w:rPr>
                <w:rFonts w:hint="eastAsia"/>
                <w:color w:val="auto"/>
                <w:sz w:val="21"/>
                <w:szCs w:val="21"/>
                <w:highlight w:val="none"/>
              </w:rPr>
              <w:t>价格扣除</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根据《三部门联合发布关于促进残疾人就业政府采购政策的通知》(财库〔2017〕141号)的要求，在政府采购活动中，残疾人福利性单位视同小型、微型企业，享受预留份额、评审中价格扣除等促进中小企业发展的政府采购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2.本项目对残疾人福利性单位参与投标的价格给予10</w:t>
            </w:r>
            <w:r>
              <w:rPr>
                <w:rFonts w:hint="eastAsia"/>
                <w:color w:val="auto"/>
                <w:sz w:val="21"/>
                <w:szCs w:val="21"/>
                <w:highlight w:val="none"/>
              </w:rPr>
              <w:t>%</w:t>
            </w:r>
            <w:r>
              <w:rPr>
                <w:rFonts w:hint="eastAsia"/>
                <w:color w:val="auto"/>
                <w:sz w:val="21"/>
                <w:szCs w:val="21"/>
                <w:highlight w:val="none"/>
                <w:lang w:val="en-US" w:eastAsia="zh-CN"/>
              </w:rPr>
              <w:t>的扣除，用扣除后的价格参与评审。</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3.残疾人福利性单位参加政府采购活动时，应当提供本通知规定的《残疾人福利性单位声明函》。</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4.供应商提供的《残疾人福利性单位声明函》与事实不符的，依照《政府采购法》第七十七条第一款的规定追究法律责任。</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5.残疾人福利性单位属于小型、微型企业的，不重复享受政策。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、扶持少数民族地区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供应商注册地在民族自治区、自治州、自治县、民族乡</w:t>
            </w:r>
            <w:r>
              <w:rPr>
                <w:rFonts w:hint="eastAsia" w:cs="宋体"/>
                <w:color w:val="auto"/>
                <w:sz w:val="21"/>
                <w:szCs w:val="21"/>
                <w:highlight w:val="none"/>
                <w:lang w:val="en-US" w:eastAsia="zh-CN"/>
              </w:rPr>
              <w:t>等地区</w:t>
            </w:r>
            <w:r>
              <w:rPr>
                <w:rFonts w:hint="eastAsia" w:ascii="宋体" w:hAnsi="宋体" w:eastAsia="宋体" w:cs="宋体"/>
                <w:color w:val="auto"/>
                <w:sz w:val="21"/>
                <w:szCs w:val="21"/>
                <w:highlight w:val="none"/>
              </w:rPr>
              <w:t>的，在评审得分相同且</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报价相同的情况下</w:t>
            </w:r>
            <w:r>
              <w:rPr>
                <w:rFonts w:hint="eastAsia" w:cs="宋体"/>
                <w:color w:val="auto"/>
                <w:sz w:val="21"/>
                <w:szCs w:val="21"/>
                <w:highlight w:val="none"/>
                <w:lang w:val="en-US" w:eastAsia="zh-CN"/>
              </w:rPr>
              <w:t>将被</w:t>
            </w:r>
            <w:r>
              <w:rPr>
                <w:rFonts w:hint="eastAsia" w:ascii="宋体" w:hAnsi="宋体" w:eastAsia="宋体" w:cs="宋体"/>
                <w:color w:val="auto"/>
                <w:sz w:val="21"/>
                <w:szCs w:val="21"/>
                <w:highlight w:val="none"/>
              </w:rPr>
              <w:t>优选推荐</w:t>
            </w:r>
            <w:r>
              <w:rPr>
                <w:rFonts w:hint="eastAsia" w:cs="宋体"/>
                <w:color w:val="auto"/>
                <w:sz w:val="21"/>
                <w:szCs w:val="21"/>
                <w:highlight w:val="none"/>
                <w:lang w:val="en-US" w:eastAsia="zh-CN"/>
              </w:rPr>
              <w:t>为中标候选人供应商</w:t>
            </w:r>
            <w:r>
              <w:rPr>
                <w:rFonts w:hint="eastAsia" w:ascii="宋体" w:hAnsi="宋体" w:eastAsia="宋体" w:cs="宋体"/>
                <w:color w:val="auto"/>
                <w:sz w:val="21"/>
                <w:szCs w:val="21"/>
                <w:highlight w:val="none"/>
              </w:rPr>
              <w:t>。</w:t>
            </w:r>
          </w:p>
          <w:p>
            <w:pPr>
              <w:pStyle w:val="46"/>
              <w:keepNext w:val="0"/>
              <w:keepLines w:val="0"/>
              <w:pageBreakBefore w:val="0"/>
              <w:widowControl w:val="0"/>
              <w:numPr>
                <w:ilvl w:val="0"/>
                <w:numId w:val="0"/>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en-US" w:eastAsia="zh-CN"/>
              </w:rPr>
            </w:pPr>
            <w:r>
              <w:rPr>
                <w:rFonts w:hint="eastAsia"/>
                <w:b/>
                <w:bCs/>
                <w:color w:val="auto"/>
                <w:sz w:val="21"/>
                <w:szCs w:val="21"/>
                <w:highlight w:val="none"/>
                <w:lang w:val="en-US" w:eastAsia="zh-CN"/>
              </w:rPr>
              <w:t>注：专门面向中小企业采购的项目或者采购包，不再执行价格评审优惠的扶持政策。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建议品牌或者供应商</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r>
              <w:rPr>
                <w:rFonts w:hint="eastAsia"/>
                <w:color w:val="auto"/>
                <w:sz w:val="21"/>
                <w:szCs w:val="21"/>
                <w:highlight w:val="none"/>
                <w:lang w:val="en-US" w:eastAsia="zh-CN"/>
              </w:rPr>
              <w:t>(如涉及)</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若采购文件涉及建议品牌或者供应商，其目的是为了准确清楚说明采购项目的技术标准和要求，其意思表示为“参照或相当于”建议品牌或者供应商，其品牌或供应商具有可替代性。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节能产品、环境标志产品、无线局域网产品采购政策</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1.节能、环保产品政府采购政策：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本项目采购的产品</w:t>
            </w:r>
            <w:r>
              <w:rPr>
                <w:rFonts w:hint="eastAsia" w:ascii="宋体" w:hAnsi="宋体" w:eastAsia="宋体" w:cs="宋体"/>
                <w:color w:val="auto"/>
                <w:sz w:val="21"/>
                <w:szCs w:val="21"/>
                <w:highlight w:val="none"/>
                <w:lang w:val="en-US" w:eastAsia="zh-CN"/>
              </w:rPr>
              <w:t>(台式图形工作工作站、移动式图形工作站)</w:t>
            </w:r>
            <w:r>
              <w:rPr>
                <w:rFonts w:hint="eastAsia"/>
                <w:color w:val="auto"/>
                <w:sz w:val="21"/>
                <w:szCs w:val="21"/>
                <w:highlight w:val="none"/>
                <w:lang w:val="en-US" w:eastAsia="zh-CN"/>
              </w:rPr>
              <w:t>属于品目清单强制采购范围(节能产品政府采购品目清单中带“★”号产品)的，供应商应按上述要求提供产品认证证书复印件并加盖供应商单位公章，否则投标无效(实质性要求)。</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本项目采购的产品属于品目清单优先采购范围的，按照第七章《综合评分明细表》的规则进行加分。</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注：对政府采购节能产品、环境标志产品实施品目清单管理。财政部、发展改革委、生态环境部等部门确定实施政府优先采购和强制采购的产品类别，以品目清单的形式发布并适时调整。</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2.无线局域网产品政府采购政策：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本项目采购的产品属于中国政府采购网公布的《无线局域网认证产品政府采购清单》的，按照第七章《综合评分明细表》的规则进行加分。</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注：采购产品为进口产品的，不适用上述规定。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其他强制性规定</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(如涉及时作为实质性要求)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国家或行业主管部门对采购产品的技术标准、质量标准和资格资质条件等有强制性规定的，必须符合其要求。如</w:t>
            </w:r>
            <w:r>
              <w:rPr>
                <w:rFonts w:hint="eastAsia"/>
                <w:color w:val="auto"/>
                <w:sz w:val="21"/>
                <w:szCs w:val="21"/>
                <w:highlight w:val="none"/>
              </w:rPr>
              <w:t>涉及</w:t>
            </w:r>
            <w:r>
              <w:rPr>
                <w:rFonts w:hint="eastAsia"/>
                <w:color w:val="auto"/>
                <w:sz w:val="21"/>
                <w:szCs w:val="21"/>
                <w:highlight w:val="none"/>
                <w:lang w:val="en-US" w:eastAsia="zh-CN"/>
              </w:rPr>
              <w:t>3</w:t>
            </w:r>
            <w:r>
              <w:rPr>
                <w:rFonts w:hint="eastAsia"/>
                <w:color w:val="auto"/>
                <w:sz w:val="21"/>
                <w:szCs w:val="21"/>
                <w:highlight w:val="none"/>
              </w:rPr>
              <w:t>C认证产品的</w:t>
            </w:r>
            <w:r>
              <w:rPr>
                <w:rFonts w:hint="eastAsia"/>
                <w:color w:val="auto"/>
                <w:sz w:val="21"/>
                <w:szCs w:val="21"/>
                <w:highlight w:val="none"/>
                <w:lang w:val="en-US" w:eastAsia="zh-CN"/>
              </w:rPr>
              <w:t>3</w:t>
            </w:r>
            <w:r>
              <w:rPr>
                <w:rFonts w:hint="eastAsia"/>
                <w:color w:val="auto"/>
                <w:sz w:val="21"/>
                <w:szCs w:val="21"/>
                <w:highlight w:val="none"/>
              </w:rPr>
              <w:t>C认证证书</w:t>
            </w:r>
            <w:r>
              <w:rPr>
                <w:rFonts w:hint="eastAsia"/>
                <w:color w:val="auto"/>
                <w:sz w:val="21"/>
                <w:szCs w:val="21"/>
                <w:highlight w:val="none"/>
                <w:lang w:val="en-US" w:eastAsia="zh-CN"/>
              </w:rPr>
              <w:t>在</w:t>
            </w:r>
            <w:r>
              <w:rPr>
                <w:rFonts w:hint="eastAsia"/>
                <w:color w:val="auto"/>
                <w:sz w:val="21"/>
                <w:szCs w:val="21"/>
                <w:highlight w:val="none"/>
              </w:rPr>
              <w:t>投标文件中可不提供(招标文件</w:t>
            </w:r>
            <w:r>
              <w:rPr>
                <w:rFonts w:hint="eastAsia"/>
                <w:color w:val="auto"/>
                <w:sz w:val="21"/>
                <w:szCs w:val="21"/>
                <w:highlight w:val="none"/>
                <w:lang w:val="en-US" w:eastAsia="zh-CN"/>
              </w:rPr>
              <w:t>有</w:t>
            </w:r>
            <w:r>
              <w:rPr>
                <w:rFonts w:hint="eastAsia"/>
                <w:color w:val="auto"/>
                <w:sz w:val="21"/>
                <w:szCs w:val="21"/>
                <w:highlight w:val="none"/>
              </w:rPr>
              <w:t>要求</w:t>
            </w:r>
            <w:r>
              <w:rPr>
                <w:rFonts w:hint="eastAsia"/>
                <w:color w:val="auto"/>
                <w:sz w:val="21"/>
                <w:szCs w:val="21"/>
                <w:highlight w:val="none"/>
                <w:lang w:val="en-US" w:eastAsia="zh-CN"/>
              </w:rPr>
              <w:t>在投标时提供证明材料的</w:t>
            </w:r>
            <w:r>
              <w:rPr>
                <w:rFonts w:hint="eastAsia"/>
                <w:color w:val="auto"/>
                <w:sz w:val="21"/>
                <w:szCs w:val="21"/>
                <w:highlight w:val="none"/>
              </w:rPr>
              <w:t>除外)，</w:t>
            </w:r>
            <w:r>
              <w:rPr>
                <w:rFonts w:hint="eastAsia"/>
                <w:color w:val="auto"/>
                <w:sz w:val="21"/>
                <w:szCs w:val="21"/>
                <w:highlight w:val="none"/>
                <w:lang w:val="en-US" w:eastAsia="zh-CN"/>
              </w:rPr>
              <w:t>供应商中标后</w:t>
            </w:r>
            <w:r>
              <w:rPr>
                <w:rFonts w:hint="eastAsia"/>
                <w:color w:val="auto"/>
                <w:sz w:val="21"/>
                <w:szCs w:val="21"/>
                <w:highlight w:val="none"/>
              </w:rPr>
              <w:t>应在</w:t>
            </w:r>
            <w:r>
              <w:rPr>
                <w:rFonts w:hint="eastAsia"/>
                <w:color w:val="auto"/>
                <w:sz w:val="21"/>
                <w:szCs w:val="21"/>
                <w:highlight w:val="none"/>
                <w:lang w:val="en-US" w:eastAsia="zh-CN"/>
              </w:rPr>
              <w:t>签订采购合同时向采购人</w:t>
            </w:r>
            <w:r>
              <w:rPr>
                <w:rFonts w:hint="eastAsia"/>
                <w:color w:val="auto"/>
                <w:sz w:val="21"/>
                <w:szCs w:val="21"/>
                <w:highlight w:val="none"/>
              </w:rPr>
              <w:t>提供</w:t>
            </w:r>
            <w:r>
              <w:rPr>
                <w:rFonts w:hint="eastAsia"/>
                <w:color w:val="auto"/>
                <w:sz w:val="21"/>
                <w:szCs w:val="21"/>
                <w:highlight w:val="none"/>
                <w:lang w:val="en-US" w:eastAsia="zh-CN"/>
              </w:rPr>
              <w:t>加盖投标人公章的3C证书复印件</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zh-CN"/>
              </w:rPr>
              <w:t>评</w:t>
            </w:r>
            <w:r>
              <w:rPr>
                <w:rFonts w:hint="eastAsia"/>
                <w:color w:val="auto"/>
                <w:sz w:val="21"/>
                <w:szCs w:val="21"/>
                <w:highlight w:val="none"/>
              </w:rPr>
              <w:t>审</w:t>
            </w:r>
            <w:r>
              <w:rPr>
                <w:rFonts w:hint="eastAsia"/>
                <w:color w:val="auto"/>
                <w:sz w:val="21"/>
                <w:szCs w:val="21"/>
                <w:highlight w:val="none"/>
                <w:lang w:val="zh-CN"/>
              </w:rPr>
              <w:t>情况的公告</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所有供应商投标文件资格性、符合性审查情况、采用综合评分法时的总得分和分项汇总得分情况、</w:t>
            </w:r>
            <w:r>
              <w:rPr>
                <w:rFonts w:hint="eastAsia"/>
                <w:color w:val="auto"/>
                <w:sz w:val="21"/>
                <w:szCs w:val="21"/>
                <w:highlight w:val="none"/>
                <w:lang w:val="en-US" w:eastAsia="zh-CN"/>
              </w:rPr>
              <w:t>《中小企业声明函》(如涉及)、</w:t>
            </w:r>
            <w:r>
              <w:rPr>
                <w:rFonts w:hint="eastAsia"/>
                <w:color w:val="auto"/>
                <w:sz w:val="21"/>
                <w:szCs w:val="21"/>
                <w:highlight w:val="none"/>
              </w:rPr>
              <w:t>评审结果等将在</w:t>
            </w:r>
            <w:r>
              <w:rPr>
                <w:rFonts w:hint="eastAsia"/>
                <w:color w:val="auto"/>
                <w:sz w:val="21"/>
                <w:szCs w:val="21"/>
                <w:highlight w:val="none"/>
                <w:lang w:eastAsia="zh-CN"/>
              </w:rPr>
              <w:t>“四川政府采购网”</w:t>
            </w:r>
            <w:r>
              <w:rPr>
                <w:rFonts w:hint="eastAsia"/>
                <w:color w:val="auto"/>
                <w:sz w:val="21"/>
                <w:szCs w:val="21"/>
                <w:highlight w:val="none"/>
              </w:rPr>
              <w:t>采购结果公告附件中予以公告。</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lang w:val="zh-CN"/>
              </w:rPr>
              <w:t>根据《中华人民共和国政府采购法实施条例》第四十三条的规定，公告内容应当包括主要中标标的的名称、规格型号、数量、单价、服务要求以及评审专家名单。投标人须将投标文件中涉及商业秘密和知识产权的内容进行标注和说明，若未进行标注和说明的，视为全部内容均可公布，采购人或者采购代理机构对此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中标通知书领取</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eastAsia"/>
                <w:lang w:val="zh-CN" w:eastAsia="zh-CN"/>
              </w:rPr>
            </w:pPr>
            <w:r>
              <w:rPr>
                <w:rFonts w:hint="eastAsia"/>
                <w:lang w:val="zh-CN" w:eastAsia="zh-CN"/>
              </w:rPr>
              <w:t>采购代理机构在中标人确定后2个工作日内，在“四川政府采购网”发布中标公告。</w:t>
            </w:r>
          </w:p>
          <w:p>
            <w:pPr>
              <w:pStyle w:val="46"/>
              <w:keepNext w:val="0"/>
              <w:keepLines w:val="0"/>
              <w:pageBreakBefore w:val="0"/>
              <w:widowControl w:val="0"/>
              <w:kinsoku/>
              <w:wordWrap w:val="0"/>
              <w:overflowPunct/>
              <w:topLinePunct/>
              <w:autoSpaceDE/>
              <w:autoSpaceDN/>
              <w:bidi w:val="0"/>
              <w:adjustRightInd w:val="0"/>
              <w:snapToGrid w:val="0"/>
              <w:ind w:left="60" w:leftChars="25" w:right="60" w:rightChars="25"/>
              <w:textAlignment w:val="auto"/>
              <w:rPr>
                <w:rFonts w:hint="default"/>
                <w:lang w:val="en-US" w:eastAsia="zh-CN"/>
              </w:rPr>
            </w:pPr>
            <w:r>
              <w:rPr>
                <w:rFonts w:hint="eastAsia"/>
                <w:lang w:val="en-US" w:eastAsia="zh-CN"/>
              </w:rPr>
              <w:t>投标人中标后应当及时领取中标通知书，不能及时领取或拒绝领取中标通知书的，采购代理机构将于中标供应商确定之日起两个工作日内采取邮寄、快递方式将中标通知书送达中标人。</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zh-CN" w:eastAsia="zh-CN"/>
              </w:rPr>
              <w:t>联系人：</w:t>
            </w:r>
            <w:r>
              <w:rPr>
                <w:rFonts w:hint="eastAsia"/>
                <w:color w:val="auto"/>
                <w:sz w:val="21"/>
                <w:szCs w:val="21"/>
                <w:highlight w:val="none"/>
                <w:lang w:val="en-US" w:eastAsia="zh-CN"/>
              </w:rPr>
              <w:t>朱琴</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zh-CN" w:eastAsia="zh-CN"/>
              </w:rPr>
              <w:t>联系电话：028-61375575、62600820、62630990转601或602</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zh-CN" w:eastAsia="zh-CN"/>
              </w:rPr>
              <w:t>地址：</w:t>
            </w:r>
            <w:r>
              <w:rPr>
                <w:rFonts w:hint="eastAsia"/>
                <w:color w:val="auto"/>
                <w:sz w:val="21"/>
                <w:szCs w:val="21"/>
                <w:highlight w:val="none"/>
                <w:lang w:eastAsia="zh-CN"/>
              </w:rPr>
              <w:t>成都市高新区吉庆三路333号蜀都中心二期一号楼一单元401号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en-US" w:eastAsia="zh-CN"/>
              </w:rPr>
              <w:t>招标</w:t>
            </w:r>
            <w:r>
              <w:rPr>
                <w:rFonts w:hint="eastAsia"/>
                <w:color w:val="auto"/>
                <w:sz w:val="21"/>
                <w:szCs w:val="21"/>
                <w:highlight w:val="none"/>
                <w:lang w:val="zh-CN"/>
              </w:rPr>
              <w:t>代理服务费</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(实质性要求)</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lef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收取标准：招标</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val="en-US" w:eastAsia="zh-CN"/>
              </w:rPr>
              <w:t>以成本加合理利润为原则，以实际中标金额为计费基数，按照下列收费标准计算出收费基准价格后下浮20%收取</w:t>
            </w:r>
            <w:r>
              <w:rPr>
                <w:rFonts w:hint="eastAsia" w:ascii="宋体" w:hAnsi="宋体" w:eastAsia="宋体" w:cs="宋体"/>
                <w:color w:val="auto"/>
                <w:sz w:val="21"/>
                <w:szCs w:val="21"/>
                <w:highlight w:val="none"/>
                <w:lang w:eastAsia="zh-CN"/>
              </w:rPr>
              <w:t>。</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.代理服务费率标准和代理服务费计算方法</w:t>
            </w:r>
          </w:p>
          <w:tbl>
            <w:tblPr>
              <w:tblStyle w:val="18"/>
              <w:tblW w:w="5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lang w:val="zh-CN" w:eastAsia="zh-CN"/>
                    </w:rPr>
                    <w:t>金额(万元)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类型</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货物类</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服务类</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100以下</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100－500</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0.8%</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500－1000</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0.8%</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0.45%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1000－5000</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0.25%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5000－10000</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0.25%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0.1%</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10000－100000</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0.05%</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1000000以上</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0.01%</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0.01%</w:t>
                  </w:r>
                </w:p>
              </w:tc>
              <w:tc>
                <w:tcPr>
                  <w:tcW w:w="1180"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0.01%</w:t>
                  </w:r>
                </w:p>
              </w:tc>
            </w:tr>
          </w:tbl>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(1)按本表费率计算的收费为代理服务全过程的收费基准价格。</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(2)采购代理机构下浮比例为20%。</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(3)代理服务收费按差额定率累进法计算。</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例如：某工程代理业务中标金额为6000万元，计算代理服务收费额如下：</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100万元×1.00%=1万元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（500－100）万元×0.70%=2.8万元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（1000－500）万元×0.55%=2.75万元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（5000－1000）万元×0.35%=14万元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（6000－5000）万元×0.20%=2万元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最终代理服务=（1+2.8+2.75+14+2）*（1－20%）=18.04（万元）</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.本收费以单个项目为计算基础，凡单个项目收费金额低于人民币3000元，按3000元收取。</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left"/>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收取方式：</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lang w:val="zh-CN"/>
              </w:rPr>
              <w:t>通知发出后二个工作日内由</w:t>
            </w:r>
            <w:r>
              <w:rPr>
                <w:rFonts w:hint="eastAsia" w:cs="宋体"/>
                <w:color w:val="auto"/>
                <w:sz w:val="21"/>
                <w:szCs w:val="21"/>
                <w:highlight w:val="none"/>
                <w:lang w:val="en-US" w:eastAsia="zh-CN"/>
              </w:rPr>
              <w:t>中标供应商</w:t>
            </w:r>
            <w:r>
              <w:rPr>
                <w:rFonts w:hint="eastAsia" w:ascii="宋体" w:hAnsi="宋体" w:eastAsia="宋体" w:cs="宋体"/>
                <w:color w:val="auto"/>
                <w:sz w:val="21"/>
                <w:szCs w:val="21"/>
                <w:highlight w:val="none"/>
                <w:lang w:val="zh-CN"/>
              </w:rPr>
              <w:t>一次性支付</w:t>
            </w:r>
            <w:r>
              <w:rPr>
                <w:rFonts w:hint="eastAsia" w:ascii="宋体" w:hAnsi="宋体" w:eastAsia="宋体" w:cs="宋体"/>
                <w:color w:val="auto"/>
                <w:sz w:val="21"/>
                <w:szCs w:val="21"/>
                <w:highlight w:val="none"/>
                <w:lang w:val="en-US" w:eastAsia="zh-CN"/>
              </w:rPr>
              <w:t>至采购代理机构</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lang w:val="zh-CN"/>
              </w:rPr>
              <w:t>履约保证金</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实质性要求</w:t>
            </w:r>
            <w:r>
              <w:rPr>
                <w:rFonts w:hint="eastAsia"/>
                <w:color w:val="auto"/>
                <w:sz w:val="21"/>
                <w:szCs w:val="21"/>
                <w:highlight w:val="none"/>
                <w:lang w:eastAsia="zh-CN"/>
              </w:rPr>
              <w:t>)</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金额的10%。</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款方式：供应商应在中标通知书发出之日起合同签订前以银行转账、支票、汇票、本票或者金融机构、担保机构出具的保函等非现金形式向采购人提交履约保证金，在收到采购人财务部门出具的履约保证金收据后，凭此凭证以及</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通知书与采购人指定的需求部门签定合同。</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退还方式：履行合同约定结束后，无质量问题和违约责任情况，供应商凭“验收报告单”、出具“收到退还履约保证金的收据”、“履约保证金退还申请”到采购人计财处办理，无息退还。采购人收到供应商提交的履约保证金退还申请等资料后，30个日历天内退还供应商履约保证金。</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4.履约保证金汇入的银行及账号：</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收款账号：成都市技师学院</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开户行：工行成都红光支行</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银行账号：4402054609100031151</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eastAsia="宋体"/>
                <w:color w:val="auto"/>
                <w:sz w:val="21"/>
                <w:szCs w:val="21"/>
                <w:highlight w:val="none"/>
                <w:lang w:val="en-US" w:eastAsia="zh-CN"/>
              </w:rPr>
            </w:pPr>
            <w:r>
              <w:rPr>
                <w:rFonts w:hint="eastAsia" w:ascii="宋体" w:hAnsi="宋体" w:eastAsia="宋体" w:cs="宋体"/>
                <w:color w:val="auto"/>
                <w:sz w:val="21"/>
                <w:szCs w:val="21"/>
                <w:highlight w:val="none"/>
              </w:rPr>
              <w:t>5.履约保证金不予退还情形：一是供应商未按合同要求履行的，其履约保证金全部扣除。二是供应商缴纳了履约保证金，但因自身原因被取消</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资格或在</w:t>
            </w:r>
            <w:r>
              <w:rPr>
                <w:rFonts w:hint="eastAsia" w:cs="宋体"/>
                <w:color w:val="auto"/>
                <w:sz w:val="21"/>
                <w:szCs w:val="21"/>
                <w:highlight w:val="none"/>
                <w:lang w:val="en-US" w:eastAsia="zh-CN"/>
              </w:rPr>
              <w:t>中标通知书发出</w:t>
            </w:r>
            <w:r>
              <w:rPr>
                <w:rFonts w:hint="eastAsia" w:ascii="宋体" w:hAnsi="宋体" w:eastAsia="宋体" w:cs="宋体"/>
                <w:color w:val="auto"/>
                <w:sz w:val="21"/>
                <w:szCs w:val="21"/>
                <w:highlight w:val="none"/>
              </w:rPr>
              <w:t>之日起30日历天(含法定节假日)内供应商不按采购文件确定的事项与采购人签订合同的，其履约保证金不予退还。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r>
              <w:rPr>
                <w:rFonts w:hint="eastAsia"/>
                <w:color w:val="auto"/>
                <w:sz w:val="21"/>
                <w:szCs w:val="21"/>
                <w:highlight w:val="none"/>
                <w:lang w:val="en-US" w:eastAsia="zh-CN"/>
              </w:rPr>
              <w:t>政府采购供应商信用融资</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1.政府采购供应商信用融资，是指银行以政府采购供应商信用审查和政府采购信誉为基础，依托政府采购合同，按优于一般企业的贷款程序和利率，直接向申请贷款的供应商发放无财产抵押贷款的一种融资模式。</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根据《四川省财政厅关于推进四川省政府采购供应商信用融资工作的通知》(川财采〔2018〕123号)文件要求，有融资需求的供应商可根据四川政府采购网公示的银行及其“政采贷”产品，自行选择符合自身情况的“政采贷”银行及其产品，凭中标通知书向银行提出贷款意向申请。</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3.“政采贷”政策咨询电话：</w:t>
            </w:r>
            <w:r>
              <w:rPr>
                <w:rFonts w:hint="eastAsia"/>
                <w:color w:val="auto"/>
                <w:sz w:val="21"/>
                <w:szCs w:val="21"/>
                <w:highlight w:val="none"/>
                <w:lang w:val="zh-CN" w:eastAsia="zh-CN"/>
              </w:rPr>
              <w:t>028-61375575转6</w:t>
            </w:r>
            <w:r>
              <w:rPr>
                <w:rFonts w:hint="eastAsia"/>
                <w:color w:val="auto"/>
                <w:sz w:val="21"/>
                <w:szCs w:val="21"/>
                <w:highlight w:val="none"/>
                <w:lang w:val="en-US" w:eastAsia="zh-CN"/>
              </w:rPr>
              <w:t>08。</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注：相关政策文件详见本招标文件附件内容。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top"/>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政府采购合同公告</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备案</w:t>
            </w:r>
          </w:p>
        </w:tc>
        <w:tc>
          <w:tcPr>
            <w:tcW w:w="7171" w:type="dxa"/>
            <w:vAlign w:val="top"/>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政府采购合同签订之日起2个工作日内，政府采购合同将在</w:t>
            </w:r>
            <w:r>
              <w:rPr>
                <w:rFonts w:hint="eastAsia"/>
                <w:color w:val="auto"/>
                <w:sz w:val="21"/>
                <w:szCs w:val="21"/>
                <w:highlight w:val="none"/>
                <w:lang w:eastAsia="zh-CN"/>
              </w:rPr>
              <w:t>“四川政府采购网”</w:t>
            </w:r>
            <w:r>
              <w:rPr>
                <w:rFonts w:hint="eastAsia"/>
                <w:color w:val="auto"/>
                <w:sz w:val="21"/>
                <w:szCs w:val="21"/>
                <w:highlight w:val="none"/>
              </w:rPr>
              <w:t>公告</w:t>
            </w:r>
            <w:r>
              <w:rPr>
                <w:rFonts w:hint="eastAsia"/>
                <w:color w:val="auto"/>
                <w:sz w:val="21"/>
                <w:szCs w:val="21"/>
                <w:highlight w:val="none"/>
                <w:lang w:val="en-US" w:eastAsia="zh-CN"/>
              </w:rPr>
              <w:t>(包含联合体协议和分包意向协议，分包意向协议公开仅限于享受了政府采购相关扶持政策的情形)</w:t>
            </w:r>
            <w:r>
              <w:rPr>
                <w:rFonts w:hint="eastAsia"/>
                <w:color w:val="auto"/>
                <w:sz w:val="21"/>
                <w:szCs w:val="21"/>
                <w:highlight w:val="none"/>
              </w:rPr>
              <w:t>；政府采购合同签订之日起七个工作日内，政府采购合同将向本采购项目同级财政部门</w:t>
            </w:r>
            <w:r>
              <w:rPr>
                <w:rFonts w:hint="eastAsia"/>
                <w:color w:val="auto"/>
                <w:sz w:val="21"/>
                <w:szCs w:val="21"/>
                <w:highlight w:val="none"/>
                <w:lang w:val="zh-CN" w:eastAsia="zh-CN"/>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供应商询问</w:t>
            </w:r>
          </w:p>
        </w:tc>
        <w:tc>
          <w:tcPr>
            <w:tcW w:w="7171" w:type="dxa"/>
            <w:vAlign w:val="top"/>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eastAsia="宋体"/>
                <w:color w:val="auto"/>
                <w:sz w:val="21"/>
                <w:szCs w:val="21"/>
                <w:highlight w:val="none"/>
                <w:lang w:val="zh-CN" w:eastAsia="zh-CN"/>
              </w:rPr>
            </w:pPr>
            <w:r>
              <w:rPr>
                <w:rFonts w:hint="eastAsia"/>
                <w:color w:val="auto"/>
                <w:sz w:val="21"/>
                <w:szCs w:val="21"/>
                <w:highlight w:val="none"/>
                <w:lang w:val="en-US" w:eastAsia="zh-CN"/>
              </w:rPr>
              <w:t>1.</w:t>
            </w:r>
            <w:r>
              <w:rPr>
                <w:rFonts w:hint="eastAsia"/>
                <w:color w:val="auto"/>
                <w:sz w:val="21"/>
                <w:szCs w:val="21"/>
                <w:highlight w:val="none"/>
              </w:rPr>
              <w:t>根据委托代理协议约定，</w:t>
            </w:r>
            <w:r>
              <w:rPr>
                <w:rFonts w:hint="eastAsia"/>
                <w:color w:val="auto"/>
                <w:sz w:val="21"/>
                <w:szCs w:val="21"/>
                <w:highlight w:val="none"/>
                <w:lang w:val="en-US" w:eastAsia="zh-CN"/>
              </w:rPr>
              <w:t>采购人</w:t>
            </w:r>
            <w:r>
              <w:rPr>
                <w:rFonts w:hint="eastAsia"/>
                <w:color w:val="auto"/>
                <w:sz w:val="21"/>
                <w:szCs w:val="21"/>
                <w:highlight w:val="none"/>
              </w:rPr>
              <w:t>负责对采购文件技术参数部分的询问答复，</w:t>
            </w:r>
            <w:r>
              <w:rPr>
                <w:rFonts w:hint="eastAsia"/>
                <w:color w:val="auto"/>
                <w:sz w:val="21"/>
                <w:szCs w:val="21"/>
                <w:highlight w:val="none"/>
                <w:lang w:val="en-US" w:eastAsia="zh-CN"/>
              </w:rPr>
              <w:t>四川乾新招投标代理有限公司</w:t>
            </w:r>
            <w:r>
              <w:rPr>
                <w:rFonts w:hint="eastAsia"/>
                <w:color w:val="auto"/>
                <w:sz w:val="21"/>
                <w:szCs w:val="21"/>
                <w:highlight w:val="none"/>
              </w:rPr>
              <w:t>负责采购文件技术参数部分以外的询问答复</w:t>
            </w:r>
            <w:r>
              <w:rPr>
                <w:rFonts w:hint="eastAsia"/>
                <w:color w:val="auto"/>
                <w:sz w:val="21"/>
                <w:szCs w:val="21"/>
                <w:highlight w:val="none"/>
                <w:lang w:eastAsia="zh-CN"/>
              </w:rPr>
              <w:t>。</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2.询问内容不得涉及评审秘密、国家机密和商业秘密等保密内容。</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3.询问方式：询问人可以采用书面或口头或电子邮件等方式向四川乾新招投标代理有限公司提出；询问必须提供询问人基本信息(包含具体询问内容、询问人名称或姓名、联系人及联系电话、电子邮件)。</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zh-CN" w:eastAsia="zh-CN"/>
              </w:rPr>
              <w:t>联系人：</w:t>
            </w:r>
            <w:r>
              <w:rPr>
                <w:rFonts w:hint="eastAsia"/>
                <w:color w:val="auto"/>
                <w:sz w:val="21"/>
                <w:szCs w:val="21"/>
                <w:highlight w:val="none"/>
                <w:lang w:val="en-US" w:eastAsia="zh-CN"/>
              </w:rPr>
              <w:t>王朝钢</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default"/>
                <w:color w:val="auto"/>
                <w:sz w:val="21"/>
                <w:szCs w:val="21"/>
                <w:highlight w:val="none"/>
                <w:lang w:val="en-US" w:eastAsia="zh-CN"/>
              </w:rPr>
            </w:pPr>
            <w:r>
              <w:rPr>
                <w:rFonts w:hint="eastAsia"/>
                <w:color w:val="auto"/>
                <w:sz w:val="21"/>
                <w:szCs w:val="21"/>
                <w:highlight w:val="none"/>
                <w:lang w:val="zh-CN" w:eastAsia="zh-CN"/>
              </w:rPr>
              <w:t>联系电话：</w:t>
            </w:r>
            <w:r>
              <w:rPr>
                <w:rFonts w:hint="eastAsia"/>
                <w:color w:val="auto"/>
                <w:sz w:val="21"/>
                <w:szCs w:val="21"/>
                <w:highlight w:val="none"/>
                <w:lang w:eastAsia="zh-CN"/>
              </w:rPr>
              <w:t>028-61375575、62600820、62630990转</w:t>
            </w:r>
            <w:r>
              <w:rPr>
                <w:rFonts w:hint="eastAsia"/>
                <w:color w:val="auto"/>
                <w:sz w:val="21"/>
                <w:szCs w:val="21"/>
                <w:highlight w:val="none"/>
                <w:lang w:val="en-US" w:eastAsia="zh-CN"/>
              </w:rPr>
              <w:t>636</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eastAsia="zh-CN"/>
              </w:rPr>
            </w:pPr>
            <w:r>
              <w:rPr>
                <w:rFonts w:hint="eastAsia"/>
                <w:color w:val="auto"/>
                <w:sz w:val="21"/>
                <w:szCs w:val="21"/>
                <w:highlight w:val="none"/>
                <w:lang w:val="zh-CN" w:eastAsia="zh-CN"/>
              </w:rPr>
              <w:t>地址：成都市高新区吉庆三路333号蜀都中心二期一号楼一单元401号</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邮编：</w:t>
            </w:r>
            <w:r>
              <w:rPr>
                <w:rFonts w:hint="eastAsia"/>
                <w:color w:val="auto"/>
                <w:sz w:val="21"/>
                <w:szCs w:val="21"/>
                <w:highlight w:val="none"/>
                <w:lang w:val="en-US" w:eastAsia="zh-CN"/>
              </w:rPr>
              <w:t>610041</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4.询问提出的范围及主体：</w:t>
            </w:r>
            <w:r>
              <w:rPr>
                <w:rFonts w:hint="eastAsia"/>
                <w:color w:val="auto"/>
                <w:sz w:val="21"/>
                <w:szCs w:val="21"/>
                <w:highlight w:val="none"/>
              </w:rPr>
              <w:t>①</w:t>
            </w:r>
            <w:r>
              <w:rPr>
                <w:rFonts w:hint="eastAsia"/>
                <w:color w:val="auto"/>
                <w:sz w:val="21"/>
                <w:szCs w:val="21"/>
                <w:highlight w:val="none"/>
                <w:lang w:val="en-US" w:eastAsia="zh-CN"/>
              </w:rPr>
              <w:t>采购文件及采购信息公告环节：依法获取采购文件的潜在供应商可以对采购文件及采购信息公告的内容向四川乾新招投标代理有限公司或采购人提出询问，仅对采购信息公告内容提出询问的，不限制询问主体。</w:t>
            </w:r>
            <w:r>
              <w:rPr>
                <w:rFonts w:hint="default"/>
                <w:color w:val="auto"/>
                <w:sz w:val="21"/>
                <w:szCs w:val="21"/>
                <w:highlight w:val="none"/>
                <w:lang w:val="en-US" w:eastAsia="zh-CN"/>
              </w:rPr>
              <w:t>②</w:t>
            </w:r>
            <w:r>
              <w:rPr>
                <w:rFonts w:hint="eastAsia"/>
                <w:color w:val="auto"/>
                <w:sz w:val="21"/>
                <w:szCs w:val="21"/>
                <w:highlight w:val="none"/>
                <w:lang w:val="en-US" w:eastAsia="zh-CN"/>
              </w:rPr>
              <w:t>采购过程、采购结果环节：参与采购活动的供应商可以对采购过程、采购结果相关问题向四川乾新招投标代理有限公司提出询问，未参与采购活动的供应商不得对此环节提出询问。</w:t>
            </w:r>
            <w:r>
              <w:rPr>
                <w:rFonts w:hint="default"/>
                <w:color w:val="auto"/>
                <w:sz w:val="21"/>
                <w:szCs w:val="21"/>
                <w:highlight w:val="none"/>
                <w:lang w:val="en-US" w:eastAsia="zh-CN"/>
              </w:rPr>
              <w:t>③</w:t>
            </w:r>
            <w:r>
              <w:rPr>
                <w:rFonts w:hint="eastAsia"/>
                <w:color w:val="auto"/>
                <w:sz w:val="21"/>
                <w:szCs w:val="21"/>
                <w:highlight w:val="none"/>
                <w:lang w:val="en-US" w:eastAsia="zh-CN"/>
              </w:rPr>
              <w:t>询问提出的时间原则上以政府采购活动中有效质疑的时间计算为准。</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5.为提高采购效率，降低社会成本，鼓励询问主体对于不损害国家及社会利益或自身合法权益的问题或情形采用询问方式处理解决(包含但不限于文字错误、标点符号、不影响投标文件的编制的情形)。</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6.为降低时间成本，减少不必要的干扰，四川乾新招投标代理有限公司或采购人可以不接受未按照约定时间提出的询问。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rPr>
              <w:t>供应商质疑</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lang w:val="en-US" w:eastAsia="zh-CN"/>
              </w:rPr>
              <w:t>1.根据委托代理协议约定，对于采购文件(招标文件技术条款和除政府采购法第二十二条之外的其他资格条件、专业商务要求)的质疑由采购人负责答复；对于采购过程或采购结果由四川乾新招投标代理有限公司负责答复。</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2.供应商提出质疑应当坚持依法依规、诚实信用原则；不得超出采购文件、采购过程、采购结果的范围，不得进行虚假、恶意质疑，不得以质疑为手段获取不当得利、实现非法目的。</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3.提出质疑函的时限要求：供应商认为采购文件、采购过程、中标使其权益受到损害的，可以在知道或者应知其权益受到损害之日起7个工作日内，以书面形式向采购人、采购代理机构提出质疑。</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 xml:space="preserve">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 </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联系人：</w:t>
            </w:r>
            <w:r>
              <w:rPr>
                <w:rFonts w:hint="eastAsia"/>
                <w:color w:val="auto"/>
                <w:sz w:val="21"/>
                <w:szCs w:val="21"/>
                <w:highlight w:val="none"/>
                <w:lang w:val="en-US" w:eastAsia="zh-CN"/>
              </w:rPr>
              <w:t>滕德伟</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联系部门：质量控制部</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联系电话：</w:t>
            </w:r>
            <w:r>
              <w:rPr>
                <w:rFonts w:hint="eastAsia"/>
                <w:color w:val="auto"/>
                <w:sz w:val="21"/>
                <w:szCs w:val="21"/>
                <w:highlight w:val="none"/>
                <w:lang w:eastAsia="zh-CN"/>
              </w:rPr>
              <w:t>028-61375575、62600820、62630990转656</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通讯地址：</w:t>
            </w:r>
            <w:r>
              <w:rPr>
                <w:rFonts w:hint="eastAsia"/>
                <w:color w:val="auto"/>
                <w:sz w:val="21"/>
                <w:szCs w:val="21"/>
                <w:highlight w:val="none"/>
                <w:lang w:val="zh-CN" w:eastAsia="zh-CN"/>
              </w:rPr>
              <w:t>成都市高新区吉庆三路333号蜀都中心二期一号楼一单元401号</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rPr>
            </w:pPr>
            <w:r>
              <w:rPr>
                <w:rFonts w:hint="eastAsia"/>
                <w:color w:val="auto"/>
                <w:sz w:val="21"/>
                <w:szCs w:val="21"/>
                <w:highlight w:val="none"/>
              </w:rPr>
              <w:t>邮编：</w:t>
            </w:r>
            <w:r>
              <w:rPr>
                <w:rFonts w:hint="eastAsia"/>
                <w:color w:val="auto"/>
                <w:sz w:val="21"/>
                <w:szCs w:val="21"/>
                <w:highlight w:val="none"/>
                <w:lang w:val="en-US" w:eastAsia="zh-CN"/>
              </w:rPr>
              <w:t>610041</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注：①根据《中华人民共和国政府采购法》等法律法规规定，供应商质疑应当有明确的请求和必要的证明材料，须符合《政府采购质疑和投诉办法》(财政部第94号令)规定，并使用财政部下发</w:t>
            </w:r>
            <w:r>
              <w:rPr>
                <w:rFonts w:hint="eastAsia"/>
                <w:color w:val="auto"/>
                <w:sz w:val="21"/>
                <w:szCs w:val="21"/>
                <w:highlight w:val="none"/>
                <w:lang w:eastAsia="zh-CN"/>
              </w:rPr>
              <w:t>《</w:t>
            </w:r>
            <w:r>
              <w:rPr>
                <w:rFonts w:hint="eastAsia"/>
                <w:color w:val="auto"/>
                <w:sz w:val="21"/>
                <w:szCs w:val="21"/>
                <w:highlight w:val="none"/>
              </w:rPr>
              <w:t>质疑函</w:t>
            </w:r>
            <w:r>
              <w:rPr>
                <w:rFonts w:hint="eastAsia"/>
                <w:color w:val="auto"/>
                <w:sz w:val="21"/>
                <w:szCs w:val="21"/>
                <w:highlight w:val="none"/>
                <w:lang w:eastAsia="zh-CN"/>
              </w:rPr>
              <w:t>》</w:t>
            </w:r>
            <w:r>
              <w:rPr>
                <w:rFonts w:hint="eastAsia"/>
                <w:color w:val="auto"/>
                <w:sz w:val="21"/>
                <w:szCs w:val="21"/>
                <w:highlight w:val="none"/>
              </w:rPr>
              <w:t>范本。</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明确的请求是指：供应商对采购文件还是对采购过程还是对中标结果提出质疑；想要达到的结果，如中标无效、废标、重新组织采购、赔偿、追究法律责任等；</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必要的证明材料是指：包含供应商的营业执照、授权委托书(法定代表人质疑时无需提供)、委托代理人身份证明、参加采购项目的证明、权益受到损害的证明材料、证明提出质疑的事实存在的材料等。</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②供应商应当在法定质疑期内一次性提出针对同一采购程序环节的质疑。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zh-CN"/>
              </w:rPr>
            </w:pPr>
            <w:r>
              <w:rPr>
                <w:rFonts w:hint="eastAsia"/>
                <w:color w:val="auto"/>
                <w:sz w:val="21"/>
                <w:szCs w:val="21"/>
                <w:highlight w:val="none"/>
              </w:rPr>
              <w:t>供应商投诉</w:t>
            </w:r>
          </w:p>
        </w:tc>
        <w:tc>
          <w:tcPr>
            <w:tcW w:w="7171" w:type="dxa"/>
            <w:vAlign w:val="top"/>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投诉受理单位：成都市财政局</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联系电话：028-61882648</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地址：四川省成都市锦城大道366号</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邮编：610041</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注：供应商投诉应当有明确的请求和必要的证明材料。供应商投诉的事项不得超出已质疑事项的范围，须符合《政府采购质疑和投诉办法》(财政部第94号令)规定，并使用财政部下发</w:t>
            </w:r>
            <w:r>
              <w:rPr>
                <w:rFonts w:hint="eastAsia"/>
                <w:color w:val="auto"/>
                <w:sz w:val="21"/>
                <w:szCs w:val="21"/>
                <w:highlight w:val="none"/>
                <w:lang w:eastAsia="zh-CN"/>
              </w:rPr>
              <w:t>《</w:t>
            </w:r>
            <w:r>
              <w:rPr>
                <w:rFonts w:hint="eastAsia"/>
                <w:color w:val="auto"/>
                <w:sz w:val="21"/>
                <w:szCs w:val="21"/>
                <w:highlight w:val="none"/>
                <w:lang w:val="en-US" w:eastAsia="zh-CN"/>
              </w:rPr>
              <w:t>投诉书</w:t>
            </w:r>
            <w:r>
              <w:rPr>
                <w:rFonts w:hint="eastAsia"/>
                <w:color w:val="auto"/>
                <w:sz w:val="21"/>
                <w:szCs w:val="21"/>
                <w:highlight w:val="none"/>
                <w:lang w:eastAsia="zh-CN"/>
              </w:rPr>
              <w:t>》</w:t>
            </w:r>
            <w:r>
              <w:rPr>
                <w:rFonts w:hint="eastAsia"/>
                <w:color w:val="auto"/>
                <w:sz w:val="21"/>
                <w:szCs w:val="21"/>
                <w:highlight w:val="none"/>
              </w:rPr>
              <w:t>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rPr>
              <w:t>开评标工作咨询</w:t>
            </w:r>
          </w:p>
        </w:tc>
        <w:tc>
          <w:tcPr>
            <w:tcW w:w="7171"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left"/>
              <w:textAlignment w:val="auto"/>
              <w:rPr>
                <w:rFonts w:hint="eastAsia"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rPr>
              <w:t>联系人：</w:t>
            </w:r>
            <w:r>
              <w:rPr>
                <w:rFonts w:hint="eastAsia"/>
                <w:color w:val="auto"/>
                <w:sz w:val="21"/>
                <w:szCs w:val="21"/>
                <w:highlight w:val="none"/>
                <w:lang w:val="en-US" w:eastAsia="zh-CN"/>
              </w:rPr>
              <w:t>甯丹</w:t>
            </w:r>
          </w:p>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left"/>
              <w:textAlignment w:val="auto"/>
              <w:rPr>
                <w:rFonts w:hint="default"/>
                <w:color w:val="auto"/>
                <w:sz w:val="21"/>
                <w:szCs w:val="21"/>
                <w:highlight w:val="none"/>
                <w:lang w:val="en-US" w:eastAsia="zh-CN"/>
              </w:rPr>
            </w:pPr>
            <w:r>
              <w:rPr>
                <w:rFonts w:hint="eastAsia" w:ascii="宋体" w:hAnsi="宋体" w:eastAsia="宋体"/>
                <w:color w:val="auto"/>
                <w:sz w:val="21"/>
                <w:szCs w:val="21"/>
                <w:highlight w:val="none"/>
                <w:lang w:val="zh-CN"/>
              </w:rPr>
              <w:t>联系电话：</w:t>
            </w:r>
            <w:r>
              <w:rPr>
                <w:rFonts w:hint="eastAsia"/>
                <w:color w:val="auto"/>
                <w:sz w:val="21"/>
                <w:szCs w:val="21"/>
                <w:highlight w:val="none"/>
                <w:lang w:eastAsia="zh-CN"/>
              </w:rPr>
              <w:t>028-61375575、62600820、62630990转6</w:t>
            </w:r>
            <w:r>
              <w:rPr>
                <w:rFonts w:hint="eastAsia"/>
                <w:color w:val="auto"/>
                <w:sz w:val="21"/>
                <w:szCs w:val="21"/>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服务质量投诉电话</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联系人：滕德伟</w:t>
            </w:r>
          </w:p>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联系电话：</w:t>
            </w:r>
            <w:r>
              <w:rPr>
                <w:rFonts w:hint="eastAsia"/>
                <w:color w:val="auto"/>
                <w:sz w:val="21"/>
                <w:szCs w:val="21"/>
                <w:highlight w:val="none"/>
                <w:lang w:eastAsia="zh-CN"/>
              </w:rPr>
              <w:t>028-61375575、62600820、62630990转656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val="en-US" w:eastAsia="zh-CN"/>
              </w:rPr>
            </w:pPr>
            <w:r>
              <w:rPr>
                <w:rFonts w:hint="eastAsia" w:ascii="宋体" w:hAnsi="宋体" w:eastAsia="宋体"/>
                <w:color w:val="auto"/>
                <w:sz w:val="21"/>
                <w:szCs w:val="21"/>
                <w:highlight w:val="none"/>
                <w:lang w:val="zh-CN"/>
              </w:rPr>
              <w:t>声明承诺提醒</w:t>
            </w:r>
          </w:p>
        </w:tc>
        <w:tc>
          <w:tcPr>
            <w:tcW w:w="7171"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投标人的投标</w:t>
            </w:r>
            <w:r>
              <w:rPr>
                <w:rFonts w:hint="eastAsia" w:ascii="宋体" w:hAnsi="宋体" w:eastAsia="宋体"/>
                <w:color w:val="auto"/>
                <w:sz w:val="21"/>
                <w:szCs w:val="21"/>
                <w:highlight w:val="none"/>
                <w:lang w:val="zh-CN"/>
              </w:rPr>
              <w:t>文件中提供的各种声明和承诺应当真实有效，无效声明和承诺、虚假声明和承诺将由</w:t>
            </w:r>
            <w:r>
              <w:rPr>
                <w:rFonts w:hint="eastAsia"/>
                <w:color w:val="auto"/>
                <w:sz w:val="21"/>
                <w:szCs w:val="21"/>
                <w:highlight w:val="none"/>
                <w:lang w:val="en-US" w:eastAsia="zh-CN"/>
              </w:rPr>
              <w:t>投标人自行</w:t>
            </w:r>
            <w:r>
              <w:rPr>
                <w:rFonts w:hint="eastAsia" w:ascii="宋体" w:hAnsi="宋体" w:eastAsia="宋体"/>
                <w:color w:val="auto"/>
                <w:sz w:val="21"/>
                <w:szCs w:val="21"/>
                <w:highlight w:val="none"/>
                <w:lang w:val="zh-CN"/>
              </w:rPr>
              <w:t>承担由此带来的</w:t>
            </w:r>
            <w:r>
              <w:rPr>
                <w:rFonts w:hint="eastAsia"/>
                <w:color w:val="auto"/>
                <w:sz w:val="21"/>
                <w:szCs w:val="21"/>
                <w:highlight w:val="none"/>
                <w:lang w:val="en-US" w:eastAsia="zh-CN"/>
              </w:rPr>
              <w:t>一切</w:t>
            </w:r>
            <w:r>
              <w:rPr>
                <w:rFonts w:hint="eastAsia" w:ascii="宋体" w:hAnsi="宋体" w:eastAsia="宋体"/>
                <w:color w:val="auto"/>
                <w:sz w:val="21"/>
                <w:szCs w:val="21"/>
                <w:highlight w:val="none"/>
                <w:lang w:val="zh-CN"/>
              </w:rPr>
              <w:t>不利后果，</w:t>
            </w:r>
            <w:r>
              <w:rPr>
                <w:rFonts w:hint="eastAsia"/>
                <w:color w:val="auto"/>
                <w:sz w:val="21"/>
                <w:szCs w:val="21"/>
                <w:highlight w:val="none"/>
                <w:lang w:val="en-US" w:eastAsia="zh-CN"/>
              </w:rPr>
              <w:t>采购代理机构</w:t>
            </w:r>
            <w:r>
              <w:rPr>
                <w:rFonts w:hint="eastAsia" w:ascii="宋体" w:hAnsi="宋体" w:eastAsia="宋体"/>
                <w:color w:val="auto"/>
                <w:sz w:val="21"/>
                <w:szCs w:val="21"/>
                <w:highlight w:val="none"/>
                <w:lang w:val="zh-CN"/>
              </w:rPr>
              <w:t>还将报告监管部门追究</w:t>
            </w:r>
            <w:r>
              <w:rPr>
                <w:rFonts w:hint="eastAsia"/>
                <w:color w:val="auto"/>
                <w:sz w:val="21"/>
                <w:szCs w:val="21"/>
                <w:highlight w:val="none"/>
                <w:lang w:val="en-US" w:eastAsia="zh-CN"/>
              </w:rPr>
              <w:t>其</w:t>
            </w:r>
            <w:r>
              <w:rPr>
                <w:rFonts w:hint="eastAsia" w:ascii="宋体" w:hAnsi="宋体" w:eastAsia="宋体"/>
                <w:color w:val="auto"/>
                <w:sz w:val="21"/>
                <w:szCs w:val="21"/>
                <w:highlight w:val="none"/>
                <w:lang w:val="zh-CN"/>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0" w:type="dxa"/>
            <w:vAlign w:val="center"/>
          </w:tcPr>
          <w:p>
            <w:pPr>
              <w:pStyle w:val="49"/>
              <w:keepNext w:val="0"/>
              <w:keepLines w:val="0"/>
              <w:pageBreakBefore w:val="0"/>
              <w:widowControl w:val="0"/>
              <w:numPr>
                <w:ilvl w:val="0"/>
                <w:numId w:val="8"/>
              </w:numPr>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lang w:eastAsia="zh-CN"/>
              </w:rPr>
            </w:pPr>
          </w:p>
        </w:tc>
        <w:tc>
          <w:tcPr>
            <w:tcW w:w="200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备注</w:t>
            </w:r>
          </w:p>
        </w:tc>
        <w:tc>
          <w:tcPr>
            <w:tcW w:w="7171" w:type="dxa"/>
            <w:vAlign w:val="center"/>
          </w:tcPr>
          <w:p>
            <w:pPr>
              <w:pStyle w:val="46"/>
              <w:keepNext w:val="0"/>
              <w:keepLines w:val="0"/>
              <w:pageBreakBefore w:val="0"/>
              <w:widowControl w:val="0"/>
              <w:kinsoku/>
              <w:wordWrap w:val="0"/>
              <w:overflowPunct/>
              <w:topLinePunct/>
              <w:autoSpaceDE/>
              <w:autoSpaceDN/>
              <w:bidi w:val="0"/>
              <w:adjustRightInd w:val="0"/>
              <w:snapToGrid w:val="0"/>
              <w:spacing w:line="320" w:lineRule="exact"/>
              <w:ind w:left="28" w:leftChars="0" w:right="12" w:rightChars="5" w:firstLine="0" w:firstLineChars="0"/>
              <w:textAlignment w:val="auto"/>
              <w:rPr>
                <w:rFonts w:hint="eastAsia"/>
                <w:color w:val="auto"/>
                <w:sz w:val="21"/>
                <w:szCs w:val="21"/>
                <w:highlight w:val="none"/>
              </w:rPr>
            </w:pPr>
            <w:r>
              <w:rPr>
                <w:rFonts w:hint="eastAsia"/>
                <w:color w:val="auto"/>
                <w:sz w:val="21"/>
                <w:szCs w:val="21"/>
                <w:highlight w:val="none"/>
              </w:rPr>
              <w:t>若招标文件中其他内容与投标人须知</w:t>
            </w:r>
            <w:r>
              <w:rPr>
                <w:rFonts w:hint="eastAsia"/>
                <w:color w:val="auto"/>
                <w:sz w:val="21"/>
                <w:szCs w:val="21"/>
                <w:highlight w:val="none"/>
                <w:lang w:val="en-US" w:eastAsia="zh-CN"/>
              </w:rPr>
              <w:t>前</w:t>
            </w:r>
            <w:r>
              <w:rPr>
                <w:rFonts w:hint="eastAsia"/>
                <w:color w:val="auto"/>
                <w:sz w:val="21"/>
                <w:szCs w:val="21"/>
                <w:highlight w:val="none"/>
              </w:rPr>
              <w:t>附表内容不一致的，以投标人须知</w:t>
            </w:r>
            <w:r>
              <w:rPr>
                <w:rFonts w:hint="eastAsia"/>
                <w:color w:val="auto"/>
                <w:sz w:val="21"/>
                <w:szCs w:val="21"/>
                <w:highlight w:val="none"/>
                <w:lang w:val="en-US" w:eastAsia="zh-CN"/>
              </w:rPr>
              <w:t>前</w:t>
            </w:r>
            <w:r>
              <w:rPr>
                <w:rFonts w:hint="eastAsia"/>
                <w:color w:val="auto"/>
                <w:sz w:val="21"/>
                <w:szCs w:val="21"/>
                <w:highlight w:val="none"/>
              </w:rPr>
              <w:t>附表为准。</w:t>
            </w:r>
          </w:p>
        </w:tc>
      </w:tr>
    </w:tbl>
    <w:p>
      <w:pPr>
        <w:pStyle w:val="47"/>
        <w:bidi w:val="0"/>
        <w:rPr>
          <w:rFonts w:hint="eastAsia"/>
          <w:color w:val="auto"/>
          <w:highlight w:val="none"/>
        </w:rPr>
      </w:pPr>
      <w:r>
        <w:rPr>
          <w:rFonts w:hint="eastAsia"/>
          <w:color w:val="auto"/>
          <w:highlight w:val="none"/>
        </w:rPr>
        <w:br w:type="page"/>
      </w:r>
      <w:bookmarkStart w:id="38" w:name="_Toc28645"/>
      <w:bookmarkStart w:id="39" w:name="_Toc23295"/>
      <w:bookmarkStart w:id="40" w:name="_Toc26593"/>
      <w:bookmarkStart w:id="41" w:name="_Toc4011"/>
      <w:bookmarkStart w:id="42" w:name="_Toc2042"/>
      <w:r>
        <w:rPr>
          <w:rFonts w:hint="eastAsia"/>
          <w:color w:val="auto"/>
          <w:highlight w:val="none"/>
        </w:rPr>
        <w:t>总 则</w:t>
      </w:r>
      <w:bookmarkEnd w:id="37"/>
      <w:bookmarkEnd w:id="38"/>
      <w:bookmarkEnd w:id="39"/>
      <w:bookmarkEnd w:id="40"/>
      <w:bookmarkEnd w:id="41"/>
      <w:bookmarkEnd w:id="42"/>
    </w:p>
    <w:p>
      <w:pPr>
        <w:pStyle w:val="27"/>
        <w:bidi w:val="0"/>
        <w:rPr>
          <w:rFonts w:hint="eastAsia"/>
          <w:color w:val="auto"/>
          <w:highlight w:val="none"/>
        </w:rPr>
      </w:pPr>
      <w:bookmarkStart w:id="43" w:name="_Toc309897492"/>
      <w:bookmarkStart w:id="44" w:name="_Toc32483"/>
      <w:bookmarkStart w:id="45" w:name="_Toc3601"/>
      <w:bookmarkStart w:id="46" w:name="_Toc217446034"/>
      <w:bookmarkStart w:id="47" w:name="_Toc21815"/>
      <w:bookmarkStart w:id="48" w:name="_Toc319439877"/>
      <w:bookmarkStart w:id="49" w:name="_Toc12046"/>
      <w:bookmarkStart w:id="50" w:name="_Toc23796"/>
      <w:bookmarkStart w:id="51" w:name="_Toc10311"/>
      <w:bookmarkStart w:id="52" w:name="_Toc29532"/>
      <w:bookmarkStart w:id="53" w:name="_Toc28450"/>
      <w:bookmarkStart w:id="54" w:name="_Toc31870"/>
      <w:bookmarkStart w:id="55" w:name="_Toc5790"/>
      <w:bookmarkStart w:id="56" w:name="_Toc307564829"/>
      <w:bookmarkStart w:id="57" w:name="_Toc327196263"/>
      <w:bookmarkStart w:id="58" w:name="_Toc20769"/>
      <w:bookmarkStart w:id="59" w:name="_Toc32648"/>
      <w:bookmarkStart w:id="60" w:name="_Toc308084574"/>
      <w:bookmarkStart w:id="61" w:name="_Toc319440119"/>
      <w:bookmarkStart w:id="62" w:name="_Toc308188129"/>
      <w:bookmarkStart w:id="63" w:name="_Toc307501086"/>
      <w:r>
        <w:rPr>
          <w:rFonts w:hint="eastAsia"/>
          <w:color w:val="auto"/>
          <w:highlight w:val="none"/>
        </w:rPr>
        <w:t>适用范围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40"/>
        <w:numPr>
          <w:ilvl w:val="2"/>
          <w:numId w:val="0"/>
        </w:numPr>
        <w:bidi w:val="0"/>
        <w:ind w:leftChars="200"/>
        <w:rPr>
          <w:rFonts w:hint="eastAsia"/>
          <w:color w:val="auto"/>
          <w:highlight w:val="none"/>
        </w:rPr>
      </w:pPr>
      <w:r>
        <w:rPr>
          <w:rFonts w:hint="eastAsia"/>
          <w:color w:val="auto"/>
          <w:highlight w:val="none"/>
        </w:rPr>
        <w:t>本招标文件仅适用于本次公开招标采购项目。</w:t>
      </w:r>
    </w:p>
    <w:p>
      <w:pPr>
        <w:pStyle w:val="27"/>
        <w:bidi w:val="0"/>
        <w:rPr>
          <w:rFonts w:hint="eastAsia"/>
          <w:color w:val="auto"/>
          <w:highlight w:val="none"/>
        </w:rPr>
      </w:pPr>
      <w:bookmarkStart w:id="64" w:name="_Toc19069"/>
      <w:bookmarkStart w:id="65" w:name="_Toc12194"/>
      <w:bookmarkStart w:id="66" w:name="_Toc307501087"/>
      <w:bookmarkStart w:id="67" w:name="_Toc308084575"/>
      <w:bookmarkStart w:id="68" w:name="_Toc19670"/>
      <w:bookmarkStart w:id="69" w:name="_Toc7942"/>
      <w:bookmarkStart w:id="70" w:name="_Toc16858"/>
      <w:bookmarkStart w:id="71" w:name="_Toc24985"/>
      <w:bookmarkStart w:id="72" w:name="_Toc307564830"/>
      <w:bookmarkStart w:id="73" w:name="_Toc319440120"/>
      <w:bookmarkStart w:id="74" w:name="_Toc156"/>
      <w:bookmarkStart w:id="75" w:name="_Toc327196264"/>
      <w:bookmarkStart w:id="76" w:name="_Toc13022"/>
      <w:bookmarkStart w:id="77" w:name="_Toc24751"/>
      <w:bookmarkStart w:id="78" w:name="_Toc14496"/>
      <w:bookmarkStart w:id="79" w:name="_Toc309897493"/>
      <w:bookmarkStart w:id="80" w:name="_Toc217446035"/>
      <w:bookmarkStart w:id="81" w:name="_Toc308188130"/>
      <w:bookmarkStart w:id="82" w:name="_Toc524"/>
      <w:bookmarkStart w:id="83" w:name="_Toc319439878"/>
      <w:bookmarkStart w:id="84" w:name="_Toc2775"/>
      <w:r>
        <w:rPr>
          <w:rFonts w:hint="eastAsia"/>
          <w:color w:val="auto"/>
          <w:highlight w:val="none"/>
        </w:rPr>
        <w:t>有关定义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28"/>
        <w:bidi w:val="0"/>
        <w:rPr>
          <w:rFonts w:hint="eastAsia"/>
          <w:color w:val="auto"/>
          <w:highlight w:val="none"/>
        </w:rPr>
      </w:pPr>
      <w:r>
        <w:rPr>
          <w:rFonts w:hint="eastAsia"/>
          <w:color w:val="auto"/>
          <w:highlight w:val="none"/>
        </w:rPr>
        <w:t>“采购人”系指依法进行政府采购的国家机关、事业单位、团体组织。本次招标的采购人是</w:t>
      </w:r>
      <w:r>
        <w:rPr>
          <w:rFonts w:hint="eastAsia"/>
          <w:color w:val="auto"/>
          <w:highlight w:val="none"/>
          <w:lang w:val="en-US" w:eastAsia="zh-CN"/>
        </w:rPr>
        <w:t>成都市技师学院</w:t>
      </w:r>
      <w:r>
        <w:rPr>
          <w:rFonts w:hint="eastAsia"/>
          <w:color w:val="auto"/>
          <w:highlight w:val="none"/>
        </w:rPr>
        <w:t>。</w:t>
      </w:r>
    </w:p>
    <w:p>
      <w:pPr>
        <w:pStyle w:val="28"/>
        <w:bidi w:val="0"/>
        <w:rPr>
          <w:rFonts w:hint="eastAsia"/>
          <w:color w:val="auto"/>
          <w:highlight w:val="none"/>
        </w:rPr>
      </w:pPr>
      <w:r>
        <w:rPr>
          <w:rFonts w:hint="eastAsia"/>
          <w:color w:val="auto"/>
          <w:highlight w:val="none"/>
        </w:rPr>
        <w:t>“采购代理机构”系指根据采购人的委托依法办理招标事宜的采购机构。本次招标的采购代理机构是四川乾新招投标代理有限公司。</w:t>
      </w:r>
    </w:p>
    <w:p>
      <w:pPr>
        <w:pStyle w:val="28"/>
        <w:bidi w:val="0"/>
        <w:rPr>
          <w:rFonts w:hint="eastAsia"/>
          <w:color w:val="auto"/>
          <w:highlight w:val="none"/>
        </w:rPr>
      </w:pPr>
      <w:r>
        <w:rPr>
          <w:rFonts w:hint="eastAsia"/>
          <w:color w:val="auto"/>
          <w:highlight w:val="none"/>
        </w:rPr>
        <w:t>“招标采购单位”系指“采购人”和“采购代理机构”的统称。</w:t>
      </w:r>
    </w:p>
    <w:p>
      <w:pPr>
        <w:pStyle w:val="28"/>
        <w:bidi w:val="0"/>
        <w:rPr>
          <w:rFonts w:hint="eastAsia"/>
          <w:color w:val="auto"/>
          <w:highlight w:val="none"/>
        </w:rPr>
      </w:pPr>
      <w:r>
        <w:rPr>
          <w:rFonts w:hint="eastAsia"/>
          <w:color w:val="auto"/>
          <w:highlight w:val="none"/>
        </w:rPr>
        <w:t>“投标人”系指购买了招标文件拟参加投标和向采购人提供货物及相应服务的供应商。</w:t>
      </w:r>
    </w:p>
    <w:p>
      <w:pPr>
        <w:pStyle w:val="28"/>
        <w:bidi w:val="0"/>
        <w:rPr>
          <w:rFonts w:hint="eastAsia"/>
          <w:color w:val="auto"/>
          <w:highlight w:val="none"/>
        </w:rPr>
      </w:pPr>
      <w:r>
        <w:rPr>
          <w:rFonts w:hint="eastAsia"/>
          <w:color w:val="auto"/>
          <w:highlight w:val="none"/>
        </w:rPr>
        <w:t>本招标文件各部分规定的期间以时、日、月、年计算。期间开始的时和日，不计算在期间内，而从次日开始计算。期间届满的最后一天是节假日的，以节假日后的第一日为期间届满的日期。</w:t>
      </w:r>
    </w:p>
    <w:p>
      <w:pPr>
        <w:pStyle w:val="28"/>
        <w:bidi w:val="0"/>
        <w:rPr>
          <w:rFonts w:hint="eastAsia"/>
          <w:color w:val="auto"/>
          <w:highlight w:val="none"/>
          <w:lang w:val="en-US" w:eastAsia="zh-CN"/>
        </w:rPr>
      </w:pPr>
      <w:r>
        <w:rPr>
          <w:rFonts w:hint="eastAsia"/>
          <w:color w:val="auto"/>
          <w:highlight w:val="none"/>
          <w:lang w:val="en-US" w:eastAsia="zh-CN"/>
        </w:rPr>
        <w:t>本招标文件各部分规定的时间均以北京时间为准。</w:t>
      </w:r>
    </w:p>
    <w:p>
      <w:pPr>
        <w:pStyle w:val="27"/>
        <w:bidi w:val="0"/>
        <w:rPr>
          <w:rFonts w:hint="eastAsia"/>
          <w:color w:val="auto"/>
          <w:highlight w:val="none"/>
        </w:rPr>
      </w:pPr>
      <w:bookmarkStart w:id="85" w:name="_Toc307501088"/>
      <w:bookmarkStart w:id="86" w:name="_Toc30244"/>
      <w:bookmarkStart w:id="87" w:name="_Toc7511"/>
      <w:bookmarkStart w:id="88" w:name="_Toc327196265"/>
      <w:bookmarkStart w:id="89" w:name="_Toc3060"/>
      <w:bookmarkStart w:id="90" w:name="_Toc217390843"/>
      <w:bookmarkStart w:id="91" w:name="_Toc308084576"/>
      <w:bookmarkStart w:id="92" w:name="_Toc319440121"/>
      <w:bookmarkStart w:id="93" w:name="_Toc217446036"/>
      <w:bookmarkStart w:id="94" w:name="_Toc307564831"/>
      <w:bookmarkStart w:id="95" w:name="_Toc308188131"/>
      <w:bookmarkStart w:id="96" w:name="_Toc22174"/>
      <w:bookmarkStart w:id="97" w:name="_Toc24547"/>
      <w:bookmarkStart w:id="98" w:name="_Toc23383"/>
      <w:bookmarkStart w:id="99" w:name="_Toc309897494"/>
      <w:bookmarkStart w:id="100" w:name="_Toc183582207"/>
      <w:bookmarkStart w:id="101" w:name="_Toc183682344"/>
      <w:bookmarkStart w:id="102" w:name="_Toc319439879"/>
      <w:bookmarkStart w:id="103" w:name="_Toc29784"/>
      <w:bookmarkStart w:id="104" w:name="_Toc26508"/>
      <w:bookmarkStart w:id="105" w:name="_Toc31295"/>
      <w:bookmarkStart w:id="106" w:name="_Toc24245"/>
      <w:bookmarkStart w:id="107" w:name="_Toc4501"/>
      <w:bookmarkStart w:id="108" w:name="_Toc30689"/>
      <w:r>
        <w:rPr>
          <w:rFonts w:hint="eastAsia"/>
          <w:color w:val="auto"/>
          <w:highlight w:val="none"/>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color w:val="auto"/>
          <w:highlight w:val="none"/>
          <w:lang w:val="en-US" w:eastAsia="zh-CN"/>
        </w:rPr>
        <w:t>(实质性要求)</w:t>
      </w:r>
      <w:bookmarkEnd w:id="105"/>
      <w:bookmarkEnd w:id="106"/>
      <w:bookmarkEnd w:id="107"/>
      <w:bookmarkEnd w:id="108"/>
    </w:p>
    <w:p>
      <w:pPr>
        <w:pStyle w:val="29"/>
        <w:bidi w:val="0"/>
        <w:rPr>
          <w:rFonts w:hint="eastAsia"/>
          <w:color w:val="auto"/>
          <w:highlight w:val="none"/>
        </w:rPr>
      </w:pPr>
      <w:r>
        <w:rPr>
          <w:rFonts w:hint="eastAsia"/>
          <w:color w:val="auto"/>
          <w:highlight w:val="none"/>
        </w:rPr>
        <w:t>合格的投标人应具备以下条件：</w:t>
      </w:r>
    </w:p>
    <w:p>
      <w:pPr>
        <w:pStyle w:val="28"/>
        <w:bidi w:val="0"/>
        <w:rPr>
          <w:rFonts w:hint="eastAsia"/>
          <w:color w:val="auto"/>
          <w:highlight w:val="none"/>
        </w:rPr>
      </w:pPr>
      <w:r>
        <w:rPr>
          <w:rFonts w:hint="eastAsia"/>
          <w:color w:val="auto"/>
          <w:highlight w:val="none"/>
        </w:rPr>
        <w:t>本招标文件“投标邀请”第五条规定的条件；</w:t>
      </w:r>
    </w:p>
    <w:p>
      <w:pPr>
        <w:pStyle w:val="28"/>
        <w:bidi w:val="0"/>
        <w:rPr>
          <w:rFonts w:hint="eastAsia"/>
          <w:color w:val="auto"/>
          <w:highlight w:val="none"/>
        </w:rPr>
      </w:pPr>
      <w:r>
        <w:rPr>
          <w:rFonts w:hint="eastAsia"/>
          <w:color w:val="auto"/>
          <w:highlight w:val="none"/>
        </w:rPr>
        <w:t>遵守国家有关的法律、法规、规章和其他政策制度；</w:t>
      </w:r>
    </w:p>
    <w:p>
      <w:pPr>
        <w:pStyle w:val="28"/>
        <w:bidi w:val="0"/>
        <w:rPr>
          <w:rFonts w:hint="eastAsia"/>
          <w:color w:val="auto"/>
          <w:highlight w:val="none"/>
        </w:rPr>
      </w:pPr>
      <w:r>
        <w:rPr>
          <w:rFonts w:hint="eastAsia"/>
          <w:color w:val="auto"/>
          <w:highlight w:val="none"/>
        </w:rPr>
        <w:t>向采购代理机构</w:t>
      </w:r>
      <w:r>
        <w:rPr>
          <w:rFonts w:hint="eastAsia"/>
          <w:color w:val="auto"/>
          <w:highlight w:val="none"/>
          <w:lang w:val="en-US" w:eastAsia="zh-CN"/>
        </w:rPr>
        <w:t>依法获取了</w:t>
      </w:r>
      <w:r>
        <w:rPr>
          <w:rFonts w:hint="eastAsia"/>
          <w:color w:val="auto"/>
          <w:highlight w:val="none"/>
        </w:rPr>
        <w:t>招标文件并</w:t>
      </w:r>
      <w:r>
        <w:rPr>
          <w:rFonts w:hint="eastAsia"/>
          <w:color w:val="auto"/>
          <w:highlight w:val="none"/>
          <w:lang w:val="en-US" w:eastAsia="zh-CN"/>
        </w:rPr>
        <w:t>完成</w:t>
      </w:r>
      <w:r>
        <w:rPr>
          <w:rFonts w:hint="eastAsia"/>
          <w:color w:val="auto"/>
          <w:highlight w:val="none"/>
        </w:rPr>
        <w:t>登记。</w:t>
      </w:r>
    </w:p>
    <w:p>
      <w:pPr>
        <w:pStyle w:val="27"/>
        <w:bidi w:val="0"/>
        <w:rPr>
          <w:rFonts w:hint="eastAsia"/>
          <w:color w:val="auto"/>
          <w:highlight w:val="none"/>
        </w:rPr>
      </w:pPr>
      <w:bookmarkStart w:id="109" w:name="_Toc5067"/>
      <w:bookmarkStart w:id="110" w:name="_Toc21649"/>
      <w:bookmarkStart w:id="111" w:name="_Toc183682345"/>
      <w:bookmarkStart w:id="112" w:name="_Toc4414"/>
      <w:bookmarkStart w:id="113" w:name="_Toc307564832"/>
      <w:bookmarkStart w:id="114" w:name="_Toc308084577"/>
      <w:bookmarkStart w:id="115" w:name="_Toc308188132"/>
      <w:bookmarkStart w:id="116" w:name="_Toc319440122"/>
      <w:bookmarkStart w:id="117" w:name="_Toc28895"/>
      <w:bookmarkStart w:id="118" w:name="_Toc307501089"/>
      <w:bookmarkStart w:id="119" w:name="_Toc9761"/>
      <w:bookmarkStart w:id="120" w:name="_Toc26952"/>
      <w:bookmarkStart w:id="121" w:name="_Toc319439880"/>
      <w:bookmarkStart w:id="122" w:name="_Toc217446037"/>
      <w:bookmarkStart w:id="123" w:name="_Toc183582208"/>
      <w:bookmarkStart w:id="124" w:name="_Toc309897495"/>
      <w:bookmarkStart w:id="125" w:name="_Toc12293"/>
      <w:bookmarkStart w:id="126" w:name="_Toc14323"/>
      <w:bookmarkStart w:id="127" w:name="_Toc327196266"/>
      <w:bookmarkStart w:id="128" w:name="_Toc7221"/>
      <w:bookmarkStart w:id="129" w:name="_Toc20132"/>
      <w:bookmarkStart w:id="130" w:name="_Toc31729"/>
      <w:bookmarkStart w:id="131" w:name="_Toc7047"/>
      <w:r>
        <w:rPr>
          <w:rFonts w:hint="eastAsia"/>
          <w:color w:val="auto"/>
          <w:highlight w:val="none"/>
        </w:rPr>
        <w:t>投标费用</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color w:val="auto"/>
          <w:highlight w:val="none"/>
          <w:lang w:val="en-US" w:eastAsia="zh-CN"/>
        </w:rPr>
        <w:t>(实质性要求)</w:t>
      </w:r>
      <w:bookmarkEnd w:id="128"/>
      <w:bookmarkEnd w:id="129"/>
      <w:bookmarkEnd w:id="130"/>
      <w:bookmarkEnd w:id="131"/>
    </w:p>
    <w:p>
      <w:pPr>
        <w:pStyle w:val="29"/>
        <w:bidi w:val="0"/>
        <w:rPr>
          <w:rFonts w:hint="eastAsia"/>
          <w:color w:val="auto"/>
          <w:highlight w:val="none"/>
        </w:rPr>
      </w:pPr>
      <w:r>
        <w:rPr>
          <w:rFonts w:hint="eastAsia"/>
          <w:color w:val="auto"/>
          <w:highlight w:val="none"/>
        </w:rPr>
        <w:t>投标人参加投标的有关费用由投标人自行承担。</w:t>
      </w:r>
    </w:p>
    <w:p>
      <w:pPr>
        <w:pStyle w:val="27"/>
        <w:bidi w:val="0"/>
        <w:rPr>
          <w:rFonts w:hint="eastAsia"/>
          <w:color w:val="auto"/>
          <w:highlight w:val="none"/>
        </w:rPr>
      </w:pPr>
      <w:bookmarkStart w:id="132" w:name="_Toc27927"/>
      <w:bookmarkStart w:id="133" w:name="_Toc307501090"/>
      <w:bookmarkStart w:id="134" w:name="_Toc18993"/>
      <w:bookmarkStart w:id="135" w:name="_Toc307564833"/>
      <w:bookmarkStart w:id="136" w:name="_Toc18984"/>
      <w:bookmarkStart w:id="137" w:name="_Toc11996"/>
      <w:bookmarkStart w:id="138" w:name="_Toc308084578"/>
      <w:bookmarkStart w:id="139" w:name="_Toc7710"/>
      <w:bookmarkStart w:id="140" w:name="_Toc11131"/>
      <w:bookmarkStart w:id="141" w:name="_Toc319440123"/>
      <w:bookmarkStart w:id="142" w:name="_Toc27604"/>
      <w:bookmarkStart w:id="143" w:name="_Toc28490"/>
      <w:bookmarkStart w:id="144" w:name="_Toc309897496"/>
      <w:bookmarkStart w:id="145" w:name="_Toc327196267"/>
      <w:bookmarkStart w:id="146" w:name="_Toc308188133"/>
      <w:bookmarkStart w:id="147" w:name="_Toc319439881"/>
      <w:bookmarkStart w:id="148" w:name="_Toc433"/>
      <w:bookmarkStart w:id="149" w:name="_Toc5564"/>
      <w:bookmarkStart w:id="150" w:name="_Toc11923"/>
      <w:bookmarkStart w:id="151" w:name="_Toc12906"/>
      <w:r>
        <w:rPr>
          <w:rFonts w:hint="eastAsia"/>
          <w:color w:val="auto"/>
          <w:highlight w:val="none"/>
        </w:rPr>
        <w:t>充分、公平竞争保障措施</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color w:val="auto"/>
          <w:highlight w:val="none"/>
          <w:lang w:val="en-US" w:eastAsia="zh-CN"/>
        </w:rPr>
        <w:t>(实质性要求)</w:t>
      </w:r>
      <w:bookmarkEnd w:id="148"/>
      <w:bookmarkEnd w:id="149"/>
      <w:bookmarkEnd w:id="150"/>
      <w:bookmarkEnd w:id="151"/>
    </w:p>
    <w:p>
      <w:pPr>
        <w:pStyle w:val="28"/>
        <w:bidi w:val="0"/>
        <w:rPr>
          <w:rFonts w:hint="eastAsia"/>
          <w:color w:val="auto"/>
          <w:highlight w:val="none"/>
        </w:rPr>
      </w:pPr>
      <w:bookmarkStart w:id="152" w:name="_Toc217446038"/>
      <w:bookmarkStart w:id="153" w:name="_Toc183682346"/>
      <w:bookmarkStart w:id="154" w:name="_Toc89075875"/>
      <w:bookmarkStart w:id="155" w:name="_Toc327196268"/>
      <w:bookmarkStart w:id="156" w:name="_Toc77400779"/>
      <w:bookmarkStart w:id="157" w:name="_Toc13891"/>
      <w:bookmarkStart w:id="158" w:name="_Toc183582209"/>
      <w:r>
        <w:rPr>
          <w:rFonts w:hint="eastAsia"/>
          <w:color w:val="auto"/>
          <w:highlight w:val="none"/>
        </w:rPr>
        <w:t>提供相同品牌产品处理。</w:t>
      </w:r>
    </w:p>
    <w:p>
      <w:pPr>
        <w:pStyle w:val="29"/>
        <w:bidi w:val="0"/>
        <w:rPr>
          <w:rFonts w:hint="eastAsia" w:ascii="宋体" w:hAnsi="宋体" w:eastAsia="宋体" w:cs="宋体"/>
          <w:color w:val="auto"/>
          <w:highlight w:val="none"/>
        </w:rPr>
      </w:pP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随机抽签</w:t>
      </w:r>
      <w:r>
        <w:rPr>
          <w:rFonts w:hint="eastAsia"/>
          <w:color w:val="auto"/>
          <w:highlight w:val="none"/>
        </w:rPr>
        <w:t>的方式确定一个投标人获得中标人推荐资格，其他同品牌投标人不</w:t>
      </w:r>
      <w:r>
        <w:rPr>
          <w:rFonts w:hint="eastAsia" w:ascii="宋体" w:hAnsi="宋体" w:eastAsia="宋体" w:cs="宋体"/>
          <w:color w:val="auto"/>
          <w:highlight w:val="none"/>
        </w:rPr>
        <w:t>作为中标候选人。</w:t>
      </w:r>
    </w:p>
    <w:p>
      <w:pPr>
        <w:pStyle w:val="29"/>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本采购项目核心产品为：</w:t>
      </w:r>
      <w:r>
        <w:rPr>
          <w:rFonts w:hint="eastAsia" w:ascii="宋体" w:hAnsi="宋体" w:eastAsia="宋体" w:cs="宋体"/>
          <w:b/>
          <w:bCs/>
          <w:color w:val="auto"/>
          <w:highlight w:val="none"/>
          <w:lang w:val="en-US" w:eastAsia="zh-CN"/>
        </w:rPr>
        <w:t>BIM算量软件、BIM施工场布软件</w:t>
      </w:r>
      <w:r>
        <w:rPr>
          <w:rFonts w:hint="eastAsia" w:ascii="宋体" w:hAnsi="宋体" w:eastAsia="宋体" w:cs="宋体"/>
          <w:color w:val="auto"/>
          <w:highlight w:val="none"/>
          <w:lang w:val="en-US" w:eastAsia="zh-CN"/>
        </w:rPr>
        <w:t>，若为相同品牌产品按前款规定执行。</w:t>
      </w:r>
    </w:p>
    <w:p>
      <w:pPr>
        <w:pStyle w:val="28"/>
        <w:bidi w:val="0"/>
        <w:rPr>
          <w:rFonts w:hint="eastAsia"/>
          <w:color w:val="auto"/>
          <w:highlight w:val="none"/>
        </w:rPr>
      </w:pPr>
      <w:r>
        <w:rPr>
          <w:rFonts w:hint="eastAsia"/>
          <w:color w:val="auto"/>
          <w:highlight w:val="none"/>
        </w:rPr>
        <w:t>利害关系供应商处理。</w:t>
      </w:r>
    </w:p>
    <w:p>
      <w:pPr>
        <w:pStyle w:val="29"/>
        <w:bidi w:val="0"/>
        <w:rPr>
          <w:rFonts w:hint="eastAsia"/>
          <w:color w:val="auto"/>
          <w:highlight w:val="none"/>
        </w:rPr>
      </w:pPr>
      <w:r>
        <w:rPr>
          <w:rFonts w:hint="eastAsia"/>
          <w:color w:val="auto"/>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选择其中一家符合条件的供应商参加后续的政府采购活动。</w:t>
      </w:r>
    </w:p>
    <w:p>
      <w:pPr>
        <w:pStyle w:val="29"/>
        <w:bidi w:val="0"/>
        <w:rPr>
          <w:rFonts w:hint="eastAsia" w:eastAsia="宋体"/>
          <w:color w:val="auto"/>
          <w:highlight w:val="none"/>
          <w:lang w:val="en-US" w:eastAsia="zh-CN"/>
        </w:rPr>
      </w:pPr>
      <w:r>
        <w:rPr>
          <w:rFonts w:hint="eastAsia"/>
          <w:color w:val="auto"/>
          <w:highlight w:val="none"/>
          <w:lang w:val="en-US" w:eastAsia="zh-CN"/>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p>
      <w:pPr>
        <w:pStyle w:val="28"/>
        <w:bidi w:val="0"/>
        <w:rPr>
          <w:rFonts w:hint="eastAsia"/>
          <w:color w:val="auto"/>
          <w:highlight w:val="none"/>
        </w:rPr>
      </w:pPr>
      <w:r>
        <w:rPr>
          <w:rFonts w:hint="eastAsia"/>
          <w:color w:val="auto"/>
          <w:highlight w:val="none"/>
        </w:rPr>
        <w:t>前期参与供应商处理。</w:t>
      </w:r>
    </w:p>
    <w:p>
      <w:pPr>
        <w:pStyle w:val="29"/>
        <w:bidi w:val="0"/>
        <w:rPr>
          <w:rFonts w:hint="eastAsia"/>
          <w:color w:val="auto"/>
          <w:highlight w:val="none"/>
        </w:rPr>
      </w:pPr>
      <w:r>
        <w:rPr>
          <w:rFonts w:hint="eastAsia"/>
          <w:color w:val="auto"/>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9"/>
        <w:bidi w:val="0"/>
        <w:rPr>
          <w:rFonts w:hint="eastAsia"/>
          <w:b/>
          <w:bCs/>
          <w:color w:val="auto"/>
          <w:highlight w:val="none"/>
        </w:rPr>
      </w:pPr>
      <w:r>
        <w:rPr>
          <w:rFonts w:hint="eastAsia"/>
          <w:b/>
          <w:bCs/>
          <w:color w:val="auto"/>
          <w:highlight w:val="none"/>
          <w:lang w:val="en-US" w:eastAsia="zh-CN"/>
        </w:rPr>
        <w:t>注：</w:t>
      </w:r>
      <w:r>
        <w:rPr>
          <w:rFonts w:hint="eastAsia"/>
          <w:b/>
          <w:bCs/>
          <w:color w:val="auto"/>
          <w:highlight w:val="none"/>
        </w:rPr>
        <w:t>本项目无符合本条规定的供应商。</w:t>
      </w:r>
    </w:p>
    <w:p>
      <w:pPr>
        <w:pStyle w:val="28"/>
        <w:bidi w:val="0"/>
        <w:rPr>
          <w:rFonts w:hint="eastAsia"/>
          <w:color w:val="auto"/>
          <w:highlight w:val="none"/>
        </w:rPr>
      </w:pPr>
      <w:r>
        <w:rPr>
          <w:rFonts w:hint="eastAsia"/>
          <w:color w:val="auto"/>
          <w:highlight w:val="none"/>
        </w:rPr>
        <w:t>利害关系代理人处理。</w:t>
      </w:r>
    </w:p>
    <w:p>
      <w:pPr>
        <w:pStyle w:val="30"/>
        <w:keepNext w:val="0"/>
        <w:keepLines w:val="0"/>
        <w:pageBreakBefore w:val="0"/>
        <w:widowControl w:val="0"/>
        <w:kinsoku/>
        <w:wordWrap w:val="0"/>
        <w:overflowPunct/>
        <w:topLinePunct/>
        <w:autoSpaceDE/>
        <w:autoSpaceDN/>
        <w:bidi w:val="0"/>
        <w:adjustRightInd w:val="0"/>
        <w:snapToGrid w:val="0"/>
        <w:textAlignment w:val="auto"/>
        <w:rPr>
          <w:rFonts w:hint="eastAsia"/>
          <w:color w:val="auto"/>
          <w:highlight w:val="none"/>
        </w:rPr>
      </w:pPr>
      <w:r>
        <w:rPr>
          <w:rFonts w:hint="eastAsia"/>
          <w:color w:val="auto"/>
          <w:highlight w:val="none"/>
        </w:rPr>
        <w:t>在同一合同项下的采购项目中，</w:t>
      </w:r>
      <w:r>
        <w:rPr>
          <w:rFonts w:hint="eastAsia"/>
          <w:color w:val="auto"/>
          <w:highlight w:val="none"/>
          <w:lang w:val="en-US" w:eastAsia="zh-CN"/>
        </w:rPr>
        <w:t>若有</w:t>
      </w:r>
      <w:r>
        <w:rPr>
          <w:rFonts w:hint="eastAsia"/>
          <w:color w:val="auto"/>
          <w:highlight w:val="none"/>
        </w:rPr>
        <w:t>2家</w:t>
      </w:r>
      <w:r>
        <w:rPr>
          <w:rFonts w:hint="eastAsia"/>
          <w:color w:val="auto"/>
          <w:highlight w:val="none"/>
          <w:lang w:val="en-US" w:eastAsia="zh-CN"/>
        </w:rPr>
        <w:t>及</w:t>
      </w:r>
      <w:r>
        <w:rPr>
          <w:rFonts w:hint="eastAsia"/>
          <w:color w:val="auto"/>
          <w:highlight w:val="none"/>
        </w:rPr>
        <w:t>以上的供应商同时委托同一个自然人、同一家庭的人员、同一单位的人员作为其代理人，其投标文件作为无效处理。</w:t>
      </w:r>
    </w:p>
    <w:p>
      <w:pPr>
        <w:pStyle w:val="30"/>
        <w:keepNext w:val="0"/>
        <w:keepLines w:val="0"/>
        <w:pageBreakBefore w:val="0"/>
        <w:widowControl w:val="0"/>
        <w:kinsoku/>
        <w:wordWrap w:val="0"/>
        <w:overflowPunct/>
        <w:topLinePunct/>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供应商实际控制人或者中高级管理人员，同时是采购代理机构工作人员，不得参与本项目政府采购活动。</w:t>
      </w:r>
    </w:p>
    <w:p>
      <w:pPr>
        <w:pStyle w:val="30"/>
        <w:keepNext w:val="0"/>
        <w:keepLines w:val="0"/>
        <w:pageBreakBefore w:val="0"/>
        <w:widowControl w:val="0"/>
        <w:kinsoku/>
        <w:wordWrap w:val="0"/>
        <w:overflowPunct/>
        <w:topLinePunct/>
        <w:autoSpaceDE/>
        <w:autoSpaceDN/>
        <w:bidi w:val="0"/>
        <w:adjustRightInd w:val="0"/>
        <w:snapToGrid w:val="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同一母公司的两家以上的子公司只能组成联合体参加本项目同一合同项下的采购活动，不得以不同供应商身份同时参加本项目同一合同项下的采购活动</w:t>
      </w:r>
    </w:p>
    <w:p>
      <w:pPr>
        <w:pStyle w:val="30"/>
        <w:keepNext w:val="0"/>
        <w:keepLines w:val="0"/>
        <w:pageBreakBefore w:val="0"/>
        <w:widowControl w:val="0"/>
        <w:kinsoku/>
        <w:wordWrap w:val="0"/>
        <w:overflowPunct/>
        <w:topLinePunct/>
        <w:autoSpaceDE/>
        <w:autoSpaceDN/>
        <w:bidi w:val="0"/>
        <w:adjustRightInd w:val="0"/>
        <w:snapToGrid w:val="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供应商与采购代理机构存在关联关系，或者是采购代理机构的母公司或子公司，不得参加本项目政府采购活动。</w:t>
      </w:r>
    </w:p>
    <w:p>
      <w:pPr>
        <w:pStyle w:val="47"/>
        <w:bidi w:val="0"/>
        <w:rPr>
          <w:rFonts w:hint="eastAsia"/>
          <w:color w:val="auto"/>
          <w:highlight w:val="none"/>
        </w:rPr>
      </w:pPr>
      <w:bookmarkStart w:id="159" w:name="_Toc27564"/>
      <w:bookmarkStart w:id="160" w:name="_Toc14125"/>
      <w:bookmarkStart w:id="161" w:name="_Toc10720"/>
      <w:bookmarkStart w:id="162" w:name="_Toc12561"/>
      <w:r>
        <w:rPr>
          <w:rFonts w:hint="eastAsia"/>
          <w:color w:val="auto"/>
          <w:highlight w:val="none"/>
        </w:rPr>
        <w:t>招标文件</w:t>
      </w:r>
      <w:bookmarkEnd w:id="152"/>
      <w:bookmarkEnd w:id="153"/>
      <w:bookmarkEnd w:id="154"/>
      <w:bookmarkEnd w:id="155"/>
      <w:bookmarkEnd w:id="156"/>
      <w:bookmarkEnd w:id="157"/>
      <w:bookmarkEnd w:id="158"/>
      <w:bookmarkEnd w:id="159"/>
      <w:bookmarkEnd w:id="160"/>
      <w:bookmarkEnd w:id="161"/>
      <w:bookmarkEnd w:id="162"/>
    </w:p>
    <w:p>
      <w:pPr>
        <w:pStyle w:val="27"/>
        <w:numPr>
          <w:ilvl w:val="2"/>
          <w:numId w:val="11"/>
        </w:numPr>
        <w:bidi w:val="0"/>
        <w:rPr>
          <w:rFonts w:hint="eastAsia"/>
          <w:color w:val="auto"/>
          <w:highlight w:val="none"/>
        </w:rPr>
      </w:pPr>
      <w:bookmarkStart w:id="163" w:name="_Toc319439883"/>
      <w:bookmarkStart w:id="164" w:name="_Toc183682347"/>
      <w:bookmarkStart w:id="165" w:name="_Toc308084580"/>
      <w:bookmarkStart w:id="166" w:name="_Toc319440125"/>
      <w:bookmarkStart w:id="167" w:name="_Toc25650"/>
      <w:bookmarkStart w:id="168" w:name="_Toc217446039"/>
      <w:bookmarkStart w:id="169" w:name="_Toc5983"/>
      <w:bookmarkStart w:id="170" w:name="_Toc25264"/>
      <w:bookmarkStart w:id="171" w:name="_Toc327196269"/>
      <w:bookmarkStart w:id="172" w:name="_Toc307501092"/>
      <w:bookmarkStart w:id="173" w:name="_Toc25874"/>
      <w:bookmarkStart w:id="174" w:name="_Toc22520"/>
      <w:bookmarkStart w:id="175" w:name="_Toc8808"/>
      <w:bookmarkStart w:id="176" w:name="_Toc183582210"/>
      <w:bookmarkStart w:id="177" w:name="_Toc307564835"/>
      <w:bookmarkStart w:id="178" w:name="_Toc29642"/>
      <w:bookmarkStart w:id="179" w:name="_Toc24565"/>
      <w:bookmarkStart w:id="180" w:name="_Toc29703"/>
      <w:bookmarkStart w:id="181" w:name="_Toc21985"/>
      <w:bookmarkStart w:id="182" w:name="_Toc308188135"/>
      <w:bookmarkStart w:id="183" w:name="_Toc16404"/>
      <w:bookmarkStart w:id="184" w:name="_Toc19030"/>
      <w:bookmarkStart w:id="185" w:name="_Toc309897498"/>
      <w:r>
        <w:rPr>
          <w:rFonts w:hint="eastAsia"/>
          <w:color w:val="auto"/>
          <w:highlight w:val="none"/>
        </w:rPr>
        <w:t>招标文件的构成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pStyle w:val="28"/>
        <w:bidi w:val="0"/>
        <w:rPr>
          <w:rFonts w:hint="eastAsia"/>
          <w:color w:val="auto"/>
          <w:highlight w:val="none"/>
        </w:rPr>
      </w:pPr>
      <w:r>
        <w:rPr>
          <w:rFonts w:hint="eastAsia"/>
          <w:color w:val="auto"/>
          <w:highlight w:val="none"/>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pStyle w:val="30"/>
        <w:bidi w:val="0"/>
        <w:rPr>
          <w:rFonts w:hint="eastAsia"/>
          <w:color w:val="auto"/>
          <w:highlight w:val="none"/>
        </w:rPr>
      </w:pPr>
      <w:r>
        <w:rPr>
          <w:rFonts w:hint="eastAsia"/>
          <w:color w:val="auto"/>
          <w:highlight w:val="none"/>
        </w:rPr>
        <w:t>投标邀请；</w:t>
      </w:r>
    </w:p>
    <w:p>
      <w:pPr>
        <w:pStyle w:val="30"/>
        <w:bidi w:val="0"/>
        <w:rPr>
          <w:rFonts w:hint="eastAsia"/>
          <w:color w:val="auto"/>
          <w:highlight w:val="none"/>
        </w:rPr>
      </w:pPr>
      <w:r>
        <w:rPr>
          <w:rFonts w:hint="eastAsia"/>
          <w:color w:val="auto"/>
          <w:highlight w:val="none"/>
        </w:rPr>
        <w:t>投标人须知</w:t>
      </w:r>
      <w:r>
        <w:rPr>
          <w:rFonts w:hint="eastAsia"/>
          <w:color w:val="auto"/>
          <w:highlight w:val="none"/>
          <w:lang w:eastAsia="zh-CN"/>
        </w:rPr>
        <w:t>(</w:t>
      </w:r>
      <w:r>
        <w:rPr>
          <w:rFonts w:hint="eastAsia"/>
          <w:color w:val="auto"/>
          <w:highlight w:val="none"/>
        </w:rPr>
        <w:t>包括投标文件的密封、签署、盖章要求等</w:t>
      </w:r>
      <w:r>
        <w:rPr>
          <w:rFonts w:hint="eastAsia"/>
          <w:color w:val="auto"/>
          <w:highlight w:val="none"/>
          <w:lang w:eastAsia="zh-CN"/>
        </w:rPr>
        <w:t>)</w:t>
      </w:r>
      <w:r>
        <w:rPr>
          <w:rFonts w:hint="eastAsia"/>
          <w:color w:val="auto"/>
          <w:highlight w:val="none"/>
        </w:rPr>
        <w:t>；</w:t>
      </w:r>
    </w:p>
    <w:p>
      <w:pPr>
        <w:pStyle w:val="30"/>
        <w:bidi w:val="0"/>
        <w:rPr>
          <w:rFonts w:hint="eastAsia"/>
          <w:color w:val="auto"/>
          <w:highlight w:val="none"/>
        </w:rPr>
      </w:pPr>
      <w:r>
        <w:rPr>
          <w:rFonts w:hint="eastAsia"/>
          <w:color w:val="auto"/>
          <w:highlight w:val="none"/>
        </w:rPr>
        <w:t>投标人应当提交的资格、资信证明文件；</w:t>
      </w:r>
    </w:p>
    <w:p>
      <w:pPr>
        <w:pStyle w:val="30"/>
        <w:bidi w:val="0"/>
        <w:rPr>
          <w:rFonts w:hint="eastAsia"/>
          <w:color w:val="auto"/>
          <w:highlight w:val="none"/>
        </w:rPr>
      </w:pPr>
      <w:r>
        <w:rPr>
          <w:rFonts w:hint="eastAsia"/>
          <w:color w:val="auto"/>
          <w:highlight w:val="none"/>
        </w:rPr>
        <w:t>为落实政府采购政策，采购标的需满足的要求，以及投标人须提供的证明材料；</w:t>
      </w:r>
    </w:p>
    <w:p>
      <w:pPr>
        <w:pStyle w:val="30"/>
        <w:bidi w:val="0"/>
        <w:rPr>
          <w:rFonts w:hint="eastAsia"/>
          <w:color w:val="auto"/>
          <w:highlight w:val="none"/>
        </w:rPr>
      </w:pPr>
      <w:r>
        <w:rPr>
          <w:rFonts w:hint="eastAsia"/>
          <w:color w:val="auto"/>
          <w:highlight w:val="none"/>
        </w:rPr>
        <w:t>投标文件编制要求、投标报价要求和保证金交纳、退还方式以及不予退还的情形；</w:t>
      </w:r>
    </w:p>
    <w:p>
      <w:pPr>
        <w:pStyle w:val="30"/>
        <w:bidi w:val="0"/>
        <w:rPr>
          <w:rFonts w:hint="eastAsia"/>
          <w:color w:val="auto"/>
          <w:highlight w:val="none"/>
        </w:rPr>
      </w:pPr>
      <w:r>
        <w:rPr>
          <w:rFonts w:hint="eastAsia"/>
          <w:color w:val="auto"/>
          <w:highlight w:val="none"/>
        </w:rPr>
        <w:t>采购项目预算金额，设定最高限价的，还应当公开最高限价；</w:t>
      </w:r>
    </w:p>
    <w:p>
      <w:pPr>
        <w:pStyle w:val="30"/>
        <w:bidi w:val="0"/>
        <w:rPr>
          <w:rFonts w:hint="eastAsia"/>
          <w:color w:val="auto"/>
          <w:highlight w:val="none"/>
        </w:rPr>
      </w:pPr>
      <w:r>
        <w:rPr>
          <w:rFonts w:hint="eastAsia"/>
          <w:color w:val="auto"/>
          <w:highlight w:val="none"/>
        </w:rPr>
        <w:t>采购项目的技术规格、数量、服务标准、验收等要求，包括附件、图纸</w:t>
      </w:r>
      <w:r>
        <w:rPr>
          <w:rFonts w:hint="eastAsia"/>
          <w:color w:val="auto"/>
          <w:highlight w:val="none"/>
          <w:lang w:eastAsia="zh-CN"/>
        </w:rPr>
        <w:t>(</w:t>
      </w:r>
      <w:r>
        <w:rPr>
          <w:rFonts w:hint="eastAsia"/>
          <w:color w:val="auto"/>
          <w:highlight w:val="none"/>
          <w:lang w:val="en-US" w:eastAsia="zh-CN"/>
        </w:rPr>
        <w:t>如涉及</w:t>
      </w:r>
      <w:r>
        <w:rPr>
          <w:rFonts w:hint="eastAsia"/>
          <w:color w:val="auto"/>
          <w:highlight w:val="none"/>
          <w:lang w:eastAsia="zh-CN"/>
        </w:rPr>
        <w:t>)</w:t>
      </w:r>
      <w:r>
        <w:rPr>
          <w:rFonts w:hint="eastAsia"/>
          <w:color w:val="auto"/>
          <w:highlight w:val="none"/>
        </w:rPr>
        <w:t>等；</w:t>
      </w:r>
    </w:p>
    <w:p>
      <w:pPr>
        <w:pStyle w:val="30"/>
        <w:bidi w:val="0"/>
        <w:rPr>
          <w:rFonts w:hint="eastAsia"/>
          <w:color w:val="auto"/>
          <w:highlight w:val="none"/>
        </w:rPr>
      </w:pPr>
      <w:r>
        <w:rPr>
          <w:rFonts w:hint="eastAsia"/>
          <w:color w:val="auto"/>
          <w:highlight w:val="none"/>
        </w:rPr>
        <w:t>拟签订的合同文本；</w:t>
      </w:r>
    </w:p>
    <w:p>
      <w:pPr>
        <w:pStyle w:val="30"/>
        <w:bidi w:val="0"/>
        <w:rPr>
          <w:rFonts w:hint="eastAsia"/>
          <w:color w:val="auto"/>
          <w:highlight w:val="none"/>
        </w:rPr>
      </w:pPr>
      <w:r>
        <w:rPr>
          <w:rFonts w:hint="eastAsia"/>
          <w:color w:val="auto"/>
          <w:highlight w:val="none"/>
        </w:rPr>
        <w:t>货物、服务提供的时间、地点、方式；</w:t>
      </w:r>
    </w:p>
    <w:p>
      <w:pPr>
        <w:pStyle w:val="30"/>
        <w:bidi w:val="0"/>
        <w:rPr>
          <w:rFonts w:hint="eastAsia"/>
          <w:color w:val="auto"/>
          <w:highlight w:val="none"/>
        </w:rPr>
      </w:pPr>
      <w:r>
        <w:rPr>
          <w:rFonts w:hint="eastAsia"/>
          <w:color w:val="auto"/>
          <w:highlight w:val="none"/>
        </w:rPr>
        <w:t>采购资金的支付方式、时间、条件；</w:t>
      </w:r>
    </w:p>
    <w:p>
      <w:pPr>
        <w:pStyle w:val="30"/>
        <w:bidi w:val="0"/>
        <w:rPr>
          <w:rFonts w:hint="eastAsia"/>
          <w:color w:val="auto"/>
          <w:highlight w:val="none"/>
        </w:rPr>
      </w:pPr>
      <w:r>
        <w:rPr>
          <w:rFonts w:hint="eastAsia"/>
          <w:color w:val="auto"/>
          <w:highlight w:val="none"/>
        </w:rPr>
        <w:t>评标方法、评标标准和投标无效情形；</w:t>
      </w:r>
    </w:p>
    <w:p>
      <w:pPr>
        <w:pStyle w:val="30"/>
        <w:bidi w:val="0"/>
        <w:rPr>
          <w:rFonts w:hint="eastAsia"/>
          <w:color w:val="auto"/>
          <w:highlight w:val="none"/>
        </w:rPr>
      </w:pPr>
      <w:r>
        <w:rPr>
          <w:rFonts w:hint="eastAsia"/>
          <w:color w:val="auto"/>
          <w:highlight w:val="none"/>
        </w:rPr>
        <w:t>投标有效期；</w:t>
      </w:r>
    </w:p>
    <w:p>
      <w:pPr>
        <w:pStyle w:val="30"/>
        <w:bidi w:val="0"/>
        <w:rPr>
          <w:rFonts w:hint="eastAsia"/>
          <w:color w:val="auto"/>
          <w:highlight w:val="none"/>
        </w:rPr>
      </w:pPr>
      <w:r>
        <w:rPr>
          <w:rFonts w:hint="eastAsia"/>
          <w:color w:val="auto"/>
          <w:highlight w:val="none"/>
        </w:rPr>
        <w:t>投标截止时间、开标时间及地点；</w:t>
      </w:r>
    </w:p>
    <w:p>
      <w:pPr>
        <w:pStyle w:val="30"/>
        <w:bidi w:val="0"/>
        <w:rPr>
          <w:rFonts w:hint="eastAsia"/>
          <w:color w:val="auto"/>
          <w:highlight w:val="none"/>
        </w:rPr>
      </w:pPr>
      <w:r>
        <w:rPr>
          <w:rFonts w:hint="eastAsia"/>
          <w:color w:val="auto"/>
          <w:highlight w:val="none"/>
        </w:rPr>
        <w:t>采购代理机构代理费用的收取标准和方式；</w:t>
      </w:r>
    </w:p>
    <w:p>
      <w:pPr>
        <w:pStyle w:val="30"/>
        <w:bidi w:val="0"/>
        <w:rPr>
          <w:rFonts w:hint="eastAsia"/>
          <w:color w:val="auto"/>
          <w:highlight w:val="none"/>
        </w:rPr>
      </w:pPr>
      <w:r>
        <w:rPr>
          <w:rFonts w:hint="eastAsia"/>
          <w:color w:val="auto"/>
          <w:highlight w:val="none"/>
        </w:rPr>
        <w:t>投标人信用信息查询渠道及截止时点、信用信息查询记录和证据留存的具体方式、信用信息的使用规则等；</w:t>
      </w:r>
    </w:p>
    <w:p>
      <w:pPr>
        <w:pStyle w:val="30"/>
        <w:bidi w:val="0"/>
        <w:rPr>
          <w:rFonts w:hint="eastAsia"/>
          <w:color w:val="auto"/>
          <w:highlight w:val="none"/>
        </w:rPr>
      </w:pPr>
      <w:r>
        <w:rPr>
          <w:rFonts w:hint="eastAsia"/>
          <w:color w:val="auto"/>
          <w:highlight w:val="none"/>
        </w:rPr>
        <w:t>省级以上财政部门规定的其他事项。</w:t>
      </w:r>
    </w:p>
    <w:p>
      <w:pPr>
        <w:pStyle w:val="28"/>
        <w:numPr>
          <w:ilvl w:val="3"/>
          <w:numId w:val="11"/>
        </w:numPr>
        <w:bidi w:val="0"/>
        <w:rPr>
          <w:rFonts w:hint="eastAsia"/>
          <w:color w:val="auto"/>
          <w:highlight w:val="none"/>
        </w:rPr>
      </w:pPr>
      <w:r>
        <w:rPr>
          <w:rFonts w:hint="eastAsia"/>
          <w:color w:val="auto"/>
          <w:highlight w:val="none"/>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27"/>
        <w:bidi w:val="0"/>
        <w:rPr>
          <w:rFonts w:hint="eastAsia"/>
          <w:color w:val="auto"/>
          <w:highlight w:val="none"/>
        </w:rPr>
      </w:pPr>
      <w:bookmarkStart w:id="186" w:name="_Toc183682348"/>
      <w:bookmarkStart w:id="187" w:name="_Toc183582211"/>
      <w:bookmarkStart w:id="188" w:name="_Toc309897499"/>
      <w:bookmarkStart w:id="189" w:name="_Toc13600"/>
      <w:bookmarkStart w:id="190" w:name="_Toc17632"/>
      <w:bookmarkStart w:id="191" w:name="_Toc307501093"/>
      <w:bookmarkStart w:id="192" w:name="_Toc31172"/>
      <w:bookmarkStart w:id="193" w:name="_Toc11995"/>
      <w:bookmarkStart w:id="194" w:name="_Toc16291"/>
      <w:bookmarkStart w:id="195" w:name="_Toc12889"/>
      <w:bookmarkStart w:id="196" w:name="_Toc25894"/>
      <w:bookmarkStart w:id="197" w:name="_Toc217446040"/>
      <w:bookmarkStart w:id="198" w:name="_Toc308084581"/>
      <w:bookmarkStart w:id="199" w:name="_Toc307564836"/>
      <w:bookmarkStart w:id="200" w:name="_Toc19612"/>
      <w:bookmarkStart w:id="201" w:name="_Toc308188136"/>
      <w:bookmarkStart w:id="202" w:name="_Toc26020"/>
      <w:bookmarkStart w:id="203" w:name="_Toc27690"/>
      <w:bookmarkStart w:id="204" w:name="_Toc327196270"/>
      <w:bookmarkStart w:id="205" w:name="_Toc319440126"/>
      <w:bookmarkStart w:id="206" w:name="_Toc7541"/>
      <w:bookmarkStart w:id="207" w:name="_Toc22085"/>
      <w:bookmarkStart w:id="208" w:name="_Toc319439884"/>
      <w:r>
        <w:rPr>
          <w:rFonts w:hint="eastAsia"/>
          <w:color w:val="auto"/>
          <w:highlight w:val="none"/>
        </w:rPr>
        <w:t>招标文件的澄清</w:t>
      </w:r>
      <w:bookmarkEnd w:id="186"/>
      <w:bookmarkEnd w:id="187"/>
      <w:r>
        <w:rPr>
          <w:rFonts w:hint="eastAsia"/>
          <w:color w:val="auto"/>
          <w:highlight w:val="none"/>
        </w:rPr>
        <w:t>和修改</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pStyle w:val="28"/>
        <w:bidi w:val="0"/>
        <w:rPr>
          <w:rFonts w:hint="eastAsia"/>
          <w:color w:val="auto"/>
          <w:highlight w:val="none"/>
        </w:rPr>
      </w:pPr>
      <w:bookmarkStart w:id="209" w:name="_Toc8838"/>
      <w:bookmarkStart w:id="210" w:name="_Toc6811"/>
      <w:bookmarkStart w:id="211" w:name="_Toc307501094"/>
      <w:bookmarkStart w:id="212" w:name="_Toc24226"/>
      <w:bookmarkStart w:id="213" w:name="_Toc208848971"/>
      <w:bookmarkStart w:id="214" w:name="_Toc309897500"/>
      <w:bookmarkStart w:id="215" w:name="_Toc22061"/>
      <w:bookmarkStart w:id="216" w:name="_Toc9735"/>
      <w:bookmarkStart w:id="217" w:name="_Toc327196271"/>
      <w:bookmarkStart w:id="218" w:name="_Toc3361"/>
      <w:bookmarkStart w:id="219" w:name="_Toc319440127"/>
      <w:bookmarkStart w:id="220" w:name="_Toc17111"/>
      <w:bookmarkStart w:id="221" w:name="_Toc2637"/>
      <w:bookmarkStart w:id="222" w:name="_Toc307564837"/>
      <w:bookmarkStart w:id="223" w:name="_Toc319439885"/>
      <w:bookmarkStart w:id="224" w:name="_Toc7026"/>
      <w:bookmarkStart w:id="225" w:name="_Toc308084582"/>
      <w:bookmarkStart w:id="226" w:name="_Toc3159"/>
      <w:bookmarkStart w:id="227" w:name="_Toc308188137"/>
      <w:bookmarkStart w:id="228" w:name="_Toc217446041"/>
      <w:r>
        <w:rPr>
          <w:rFonts w:hint="eastAsia"/>
          <w:color w:val="auto"/>
          <w:highlight w:val="none"/>
        </w:rPr>
        <w:t>在投标截止时间前，招标采购单位无论出于何种原因，可以对招标文件进行澄清或者修改</w:t>
      </w:r>
      <w:r>
        <w:rPr>
          <w:rFonts w:hint="eastAsia"/>
          <w:color w:val="auto"/>
          <w:highlight w:val="none"/>
          <w:lang w:eastAsia="zh-CN"/>
        </w:rPr>
        <w:t>；</w:t>
      </w:r>
      <w:r>
        <w:rPr>
          <w:rFonts w:hint="eastAsia"/>
          <w:color w:val="auto"/>
          <w:highlight w:val="none"/>
        </w:rPr>
        <w:t>投标人认为需要对招标文件进行澄清或者修改的，可以以书面形式向招标采购单位提出申请，但招标采购单位可以决定是否采纳投标人的申请事项。</w:t>
      </w:r>
    </w:p>
    <w:p>
      <w:pPr>
        <w:pStyle w:val="28"/>
        <w:bidi w:val="0"/>
        <w:rPr>
          <w:rFonts w:hint="eastAsia"/>
          <w:color w:val="auto"/>
          <w:highlight w:val="none"/>
          <w:lang w:eastAsia="zh-CN"/>
        </w:rPr>
      </w:pPr>
      <w:r>
        <w:rPr>
          <w:rFonts w:hint="eastAsia"/>
          <w:color w:val="auto"/>
          <w:highlight w:val="none"/>
        </w:rPr>
        <w:t>招标采购单位对已发出的招标文件进行澄清或者修改，澄清或者修改的内容可能影响投标文件编制的，采购人或者采购代理机构应当在投标截止时间至少15日前，以书面形式通知所有获取招标文件的潜在投标人；不足</w:t>
      </w:r>
      <w:r>
        <w:rPr>
          <w:rFonts w:hint="eastAsia"/>
          <w:color w:val="auto"/>
          <w:highlight w:val="none"/>
          <w:lang w:val="en-US" w:eastAsia="zh-CN"/>
        </w:rPr>
        <w:t>15</w:t>
      </w:r>
      <w:r>
        <w:rPr>
          <w:rFonts w:hint="eastAsia"/>
          <w:color w:val="auto"/>
          <w:highlight w:val="none"/>
        </w:rPr>
        <w:t>日的，采购人或者采购代理机构应当顺延提交投标文件的截止时间</w:t>
      </w:r>
      <w:r>
        <w:rPr>
          <w:rFonts w:hint="eastAsia"/>
          <w:color w:val="auto"/>
          <w:highlight w:val="none"/>
          <w:lang w:eastAsia="zh-CN"/>
        </w:rPr>
        <w:t>。</w:t>
      </w:r>
    </w:p>
    <w:p>
      <w:pPr>
        <w:pStyle w:val="28"/>
        <w:bidi w:val="0"/>
        <w:rPr>
          <w:b/>
          <w:bCs/>
          <w:color w:val="auto"/>
          <w:highlight w:val="none"/>
        </w:rPr>
      </w:pPr>
      <w:r>
        <w:rPr>
          <w:rFonts w:hint="eastAsia"/>
          <w:b/>
          <w:bCs/>
          <w:color w:val="auto"/>
          <w:highlight w:val="none"/>
          <w:lang w:val="en-US" w:eastAsia="zh-CN"/>
        </w:rPr>
        <w:t>投标人</w:t>
      </w:r>
      <w:r>
        <w:rPr>
          <w:rFonts w:hint="eastAsia"/>
          <w:b/>
          <w:bCs/>
          <w:color w:val="auto"/>
          <w:highlight w:val="none"/>
        </w:rPr>
        <w:t>应于投标文件递交截止时间之前在</w:t>
      </w:r>
      <w:r>
        <w:rPr>
          <w:rFonts w:hint="eastAsia"/>
          <w:b/>
          <w:bCs/>
          <w:color w:val="auto"/>
          <w:highlight w:val="none"/>
          <w:lang w:eastAsia="zh-CN"/>
        </w:rPr>
        <w:t>“</w:t>
      </w:r>
      <w:r>
        <w:rPr>
          <w:rFonts w:hint="eastAsia"/>
          <w:b/>
          <w:bCs/>
          <w:color w:val="auto"/>
          <w:highlight w:val="none"/>
        </w:rPr>
        <w:t>四川政府采购网</w:t>
      </w:r>
      <w:r>
        <w:rPr>
          <w:rFonts w:hint="eastAsia"/>
          <w:b/>
          <w:bCs/>
          <w:color w:val="auto"/>
          <w:highlight w:val="none"/>
          <w:lang w:eastAsia="zh-CN"/>
        </w:rPr>
        <w:t>”</w:t>
      </w:r>
      <w:r>
        <w:rPr>
          <w:rFonts w:hint="eastAsia"/>
          <w:b/>
          <w:bCs/>
          <w:color w:val="auto"/>
          <w:highlight w:val="none"/>
        </w:rPr>
        <w:t>查询本项目的更正公告，以保证其对招标文件做出</w:t>
      </w:r>
      <w:r>
        <w:rPr>
          <w:rFonts w:hint="eastAsia"/>
          <w:b/>
          <w:bCs/>
          <w:color w:val="auto"/>
          <w:highlight w:val="none"/>
          <w:lang w:val="en-US" w:eastAsia="zh-CN"/>
        </w:rPr>
        <w:t>准确</w:t>
      </w:r>
      <w:r>
        <w:rPr>
          <w:rFonts w:hint="eastAsia"/>
          <w:b/>
          <w:bCs/>
          <w:color w:val="auto"/>
          <w:highlight w:val="none"/>
        </w:rPr>
        <w:t>的响应。</w:t>
      </w:r>
      <w:r>
        <w:rPr>
          <w:rFonts w:hint="eastAsia"/>
          <w:b/>
          <w:bCs/>
          <w:color w:val="auto"/>
          <w:highlight w:val="none"/>
          <w:lang w:val="en-US" w:eastAsia="zh-CN"/>
        </w:rPr>
        <w:t>投标人</w:t>
      </w:r>
      <w:r>
        <w:rPr>
          <w:rFonts w:hint="eastAsia"/>
          <w:b/>
          <w:bCs/>
          <w:color w:val="auto"/>
          <w:highlight w:val="none"/>
        </w:rPr>
        <w:t>未按要求下载相关文件，或由于未及时关注更正公告的信息造成的后果，其责任由</w:t>
      </w:r>
      <w:r>
        <w:rPr>
          <w:rFonts w:hint="eastAsia"/>
          <w:b/>
          <w:bCs/>
          <w:color w:val="auto"/>
          <w:highlight w:val="none"/>
          <w:lang w:val="en-US" w:eastAsia="zh-CN"/>
        </w:rPr>
        <w:t>投标人</w:t>
      </w:r>
      <w:r>
        <w:rPr>
          <w:rFonts w:hint="eastAsia"/>
          <w:b/>
          <w:bCs/>
          <w:color w:val="auto"/>
          <w:highlight w:val="none"/>
        </w:rPr>
        <w:t>自行负责。</w:t>
      </w:r>
    </w:p>
    <w:p>
      <w:pPr>
        <w:pStyle w:val="29"/>
        <w:bidi w:val="0"/>
        <w:rPr>
          <w:rFonts w:hint="eastAsia"/>
          <w:b/>
          <w:bCs/>
          <w:color w:val="auto"/>
          <w:highlight w:val="none"/>
          <w:lang w:val="en-US" w:eastAsia="zh-CN"/>
        </w:rPr>
      </w:pPr>
      <w:r>
        <w:rPr>
          <w:rFonts w:hint="eastAsia"/>
          <w:b/>
          <w:bCs/>
          <w:color w:val="auto"/>
          <w:highlight w:val="none"/>
          <w:lang w:val="en-US" w:eastAsia="zh-CN"/>
        </w:rPr>
        <w:t>采购代理机构将通过报名系统将</w:t>
      </w:r>
      <w:r>
        <w:rPr>
          <w:rFonts w:hint="eastAsia"/>
          <w:b/>
          <w:bCs/>
          <w:color w:val="auto"/>
          <w:highlight w:val="none"/>
        </w:rPr>
        <w:t>更正通知发送至所有购买招标文件的供应商，供应商在收到相应更正通知后</w:t>
      </w:r>
      <w:r>
        <w:rPr>
          <w:rFonts w:hint="eastAsia"/>
          <w:b/>
          <w:bCs/>
          <w:color w:val="auto"/>
          <w:highlight w:val="none"/>
          <w:lang w:eastAsia="zh-CN"/>
        </w:rPr>
        <w:t>，</w:t>
      </w:r>
      <w:r>
        <w:rPr>
          <w:rFonts w:hint="eastAsia"/>
          <w:b/>
          <w:bCs/>
          <w:color w:val="auto"/>
          <w:highlight w:val="none"/>
          <w:lang w:val="en-US" w:eastAsia="zh-CN"/>
        </w:rPr>
        <w:t>将更正公告打印后加盖单位公章扫描并通过报名系统提交至采购代理机构。</w:t>
      </w:r>
      <w:r>
        <w:rPr>
          <w:rFonts w:hint="eastAsia"/>
          <w:b/>
          <w:bCs/>
          <w:color w:val="auto"/>
          <w:highlight w:val="none"/>
        </w:rPr>
        <w:t>如供应商未给予书面回复，则视为收到并认可该更正通知的内容</w:t>
      </w:r>
      <w:r>
        <w:rPr>
          <w:rFonts w:hint="eastAsia"/>
          <w:b/>
          <w:bCs/>
          <w:color w:val="auto"/>
          <w:highlight w:val="none"/>
          <w:lang w:val="en-US" w:eastAsia="zh-CN"/>
        </w:rPr>
        <w:t>。</w:t>
      </w:r>
    </w:p>
    <w:p>
      <w:pPr>
        <w:pStyle w:val="27"/>
        <w:bidi w:val="0"/>
        <w:rPr>
          <w:rFonts w:hint="eastAsia"/>
          <w:color w:val="auto"/>
          <w:highlight w:val="none"/>
        </w:rPr>
      </w:pPr>
      <w:bookmarkStart w:id="229" w:name="_Toc3587"/>
      <w:bookmarkStart w:id="230" w:name="_Toc31570"/>
      <w:r>
        <w:rPr>
          <w:rFonts w:hint="eastAsia"/>
          <w:color w:val="auto"/>
          <w:highlight w:val="none"/>
        </w:rPr>
        <w:t>答疑会和现场考察</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pStyle w:val="28"/>
        <w:bidi w:val="0"/>
        <w:rPr>
          <w:rFonts w:hint="eastAsia"/>
          <w:color w:val="auto"/>
          <w:highlight w:val="none"/>
        </w:rPr>
      </w:pPr>
      <w:bookmarkStart w:id="231" w:name="_Toc183582214"/>
      <w:bookmarkStart w:id="232" w:name="_Toc183682351"/>
      <w:bookmarkStart w:id="233" w:name="_Toc77400780"/>
      <w:bookmarkStart w:id="234" w:name="_Toc20199"/>
      <w:bookmarkStart w:id="235" w:name="_Toc327196272"/>
      <w:bookmarkStart w:id="236" w:name="_Toc217446042"/>
      <w:bookmarkStart w:id="237" w:name="_Toc89075876"/>
      <w:r>
        <w:rPr>
          <w:rFonts w:hint="eastAsia"/>
          <w:color w:val="auto"/>
          <w:highlight w:val="none"/>
        </w:rPr>
        <w:t>采购人、采购代理机构可以视采购项目的具体情况，组织</w:t>
      </w:r>
      <w:r>
        <w:rPr>
          <w:rFonts w:hint="eastAsia"/>
          <w:color w:val="auto"/>
          <w:highlight w:val="none"/>
          <w:lang w:eastAsia="zh-CN"/>
        </w:rPr>
        <w:t>投标人</w:t>
      </w:r>
      <w:r>
        <w:rPr>
          <w:rFonts w:hint="eastAsia"/>
          <w:color w:val="auto"/>
          <w:highlight w:val="none"/>
        </w:rPr>
        <w:t>进行现场考察或</w:t>
      </w:r>
      <w:r>
        <w:rPr>
          <w:rFonts w:hint="eastAsia"/>
          <w:color w:val="auto"/>
          <w:highlight w:val="none"/>
          <w:lang w:eastAsia="zh-CN"/>
        </w:rPr>
        <w:t>开标</w:t>
      </w:r>
      <w:r>
        <w:rPr>
          <w:rFonts w:hint="eastAsia"/>
          <w:color w:val="auto"/>
          <w:highlight w:val="none"/>
        </w:rPr>
        <w:t>前答疑会，但不得单独或分别组织只有一个</w:t>
      </w:r>
      <w:r>
        <w:rPr>
          <w:rFonts w:hint="eastAsia"/>
          <w:color w:val="auto"/>
          <w:highlight w:val="none"/>
          <w:lang w:eastAsia="zh-CN"/>
        </w:rPr>
        <w:t>投标人</w:t>
      </w:r>
      <w:r>
        <w:rPr>
          <w:rFonts w:hint="eastAsia"/>
          <w:color w:val="auto"/>
          <w:highlight w:val="none"/>
        </w:rPr>
        <w:t>参加的现场考察和答疑会。若组织答疑会和现场考察以采购代理机构通知为准。</w:t>
      </w:r>
    </w:p>
    <w:p>
      <w:pPr>
        <w:pStyle w:val="28"/>
        <w:bidi w:val="0"/>
        <w:rPr>
          <w:rFonts w:hint="eastAsia"/>
          <w:color w:val="auto"/>
          <w:highlight w:val="none"/>
        </w:rPr>
      </w:pPr>
      <w:r>
        <w:rPr>
          <w:rFonts w:hint="eastAsia"/>
          <w:color w:val="auto"/>
          <w:highlight w:val="none"/>
          <w:lang w:eastAsia="zh-CN"/>
        </w:rPr>
        <w:t>投标人</w:t>
      </w:r>
      <w:r>
        <w:rPr>
          <w:rFonts w:hint="eastAsia"/>
          <w:color w:val="auto"/>
          <w:highlight w:val="none"/>
        </w:rPr>
        <w:t>考察现场所发生的一切费用由</w:t>
      </w:r>
      <w:r>
        <w:rPr>
          <w:rFonts w:hint="eastAsia"/>
          <w:color w:val="auto"/>
          <w:highlight w:val="none"/>
          <w:lang w:eastAsia="zh-CN"/>
        </w:rPr>
        <w:t>投标人</w:t>
      </w:r>
      <w:r>
        <w:rPr>
          <w:rFonts w:hint="eastAsia"/>
          <w:color w:val="auto"/>
          <w:highlight w:val="none"/>
          <w:lang w:val="en-US" w:eastAsia="zh-CN"/>
        </w:rPr>
        <w:t>自行</w:t>
      </w:r>
      <w:r>
        <w:rPr>
          <w:rFonts w:hint="eastAsia"/>
          <w:color w:val="auto"/>
          <w:highlight w:val="none"/>
        </w:rPr>
        <w:t>承担。</w:t>
      </w:r>
    </w:p>
    <w:p>
      <w:pPr>
        <w:pStyle w:val="47"/>
        <w:bidi w:val="0"/>
        <w:rPr>
          <w:rFonts w:hint="eastAsia"/>
          <w:color w:val="auto"/>
          <w:highlight w:val="none"/>
        </w:rPr>
      </w:pPr>
      <w:bookmarkStart w:id="238" w:name="_Toc27479"/>
      <w:bookmarkStart w:id="239" w:name="_Toc16131"/>
      <w:bookmarkStart w:id="240" w:name="_Toc12361"/>
      <w:bookmarkStart w:id="241" w:name="_Toc615"/>
      <w:r>
        <w:rPr>
          <w:rFonts w:hint="eastAsia"/>
          <w:color w:val="auto"/>
          <w:highlight w:val="none"/>
        </w:rPr>
        <w:t>投标文件</w:t>
      </w:r>
      <w:bookmarkEnd w:id="231"/>
      <w:bookmarkEnd w:id="232"/>
      <w:bookmarkEnd w:id="233"/>
      <w:bookmarkEnd w:id="234"/>
      <w:bookmarkEnd w:id="235"/>
      <w:bookmarkEnd w:id="236"/>
      <w:bookmarkEnd w:id="237"/>
      <w:bookmarkEnd w:id="238"/>
      <w:bookmarkEnd w:id="239"/>
      <w:bookmarkEnd w:id="240"/>
      <w:bookmarkEnd w:id="241"/>
    </w:p>
    <w:p>
      <w:pPr>
        <w:pStyle w:val="27"/>
        <w:numPr>
          <w:ilvl w:val="2"/>
          <w:numId w:val="12"/>
        </w:numPr>
        <w:bidi w:val="0"/>
        <w:rPr>
          <w:rFonts w:hint="eastAsia"/>
          <w:color w:val="auto"/>
          <w:highlight w:val="none"/>
        </w:rPr>
      </w:pPr>
      <w:bookmarkStart w:id="242" w:name="_Toc26076"/>
      <w:bookmarkStart w:id="243" w:name="_Toc217446043"/>
      <w:bookmarkStart w:id="244" w:name="_Toc23564"/>
      <w:bookmarkStart w:id="245" w:name="_Toc29330"/>
      <w:bookmarkStart w:id="246" w:name="_Toc21169"/>
      <w:bookmarkStart w:id="247" w:name="_Toc1641"/>
      <w:bookmarkStart w:id="248" w:name="_Toc309897502"/>
      <w:bookmarkStart w:id="249" w:name="_Toc319439887"/>
      <w:bookmarkStart w:id="250" w:name="_Toc3041"/>
      <w:bookmarkStart w:id="251" w:name="_Toc327196273"/>
      <w:bookmarkStart w:id="252" w:name="_Toc319440129"/>
      <w:bookmarkStart w:id="253" w:name="_Toc2601"/>
      <w:bookmarkStart w:id="254" w:name="_Toc183582215"/>
      <w:bookmarkStart w:id="255" w:name="_Toc307501096"/>
      <w:bookmarkStart w:id="256" w:name="_Toc183682352"/>
      <w:bookmarkStart w:id="257" w:name="_Toc308188139"/>
      <w:bookmarkStart w:id="258" w:name="_Toc307564839"/>
      <w:bookmarkStart w:id="259" w:name="_Toc27053"/>
      <w:bookmarkStart w:id="260" w:name="_Toc308084584"/>
      <w:bookmarkStart w:id="261" w:name="_Toc8388"/>
      <w:bookmarkStart w:id="262" w:name="_Toc11217"/>
      <w:bookmarkStart w:id="263" w:name="_Toc10775"/>
      <w:bookmarkStart w:id="264" w:name="_Toc14178"/>
      <w:r>
        <w:rPr>
          <w:rFonts w:hint="eastAsia"/>
          <w:color w:val="auto"/>
          <w:highlight w:val="none"/>
        </w:rPr>
        <w:t>投标文件的语言</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hint="eastAsia"/>
          <w:color w:val="auto"/>
          <w:highlight w:val="none"/>
          <w:lang w:val="en-US" w:eastAsia="zh-CN"/>
        </w:rPr>
        <w:t>(实质性要求)</w:t>
      </w:r>
      <w:bookmarkEnd w:id="261"/>
      <w:bookmarkEnd w:id="262"/>
      <w:bookmarkEnd w:id="263"/>
      <w:bookmarkEnd w:id="264"/>
    </w:p>
    <w:p>
      <w:pPr>
        <w:pStyle w:val="28"/>
        <w:bidi w:val="0"/>
        <w:rPr>
          <w:rFonts w:hint="eastAsia"/>
          <w:color w:val="auto"/>
          <w:highlight w:val="none"/>
        </w:rPr>
      </w:pPr>
      <w:r>
        <w:rPr>
          <w:rFonts w:hint="eastAsia"/>
          <w:color w:val="auto"/>
          <w:highlight w:val="none"/>
        </w:rPr>
        <w:t>投标人提交的投标文件以及投标人与招标采购单位就有关投标的所有来往书面文件均须使用中文。投标文件中如附有外文资料，必须逐一对应翻译成中文并加盖投标人公章后附在相关外文资料后面，否则，视为未提供该资料。对于</w:t>
      </w:r>
      <w:r>
        <w:rPr>
          <w:rFonts w:hint="eastAsia"/>
          <w:color w:val="auto"/>
          <w:highlight w:val="none"/>
          <w:lang w:val="en-US" w:eastAsia="zh-CN"/>
        </w:rPr>
        <w:t>供应商的法定代表人为外籍人士的，法定代表人的签字和护照、</w:t>
      </w:r>
      <w:r>
        <w:rPr>
          <w:rFonts w:hint="eastAsia"/>
          <w:color w:val="auto"/>
          <w:highlight w:val="none"/>
        </w:rPr>
        <w:t>行业标准、国家标准、国际标准或行业认证等需要以非中文表述且不宜翻译为中文的除外。</w:t>
      </w:r>
    </w:p>
    <w:p>
      <w:pPr>
        <w:pStyle w:val="28"/>
        <w:bidi w:val="0"/>
        <w:rPr>
          <w:rFonts w:hint="eastAsia"/>
          <w:color w:val="auto"/>
          <w:highlight w:val="none"/>
        </w:rPr>
      </w:pPr>
      <w:r>
        <w:rPr>
          <w:rFonts w:hint="eastAsia"/>
          <w:color w:val="auto"/>
          <w:highlight w:val="none"/>
        </w:rPr>
        <w:t>翻译的中文资料与外文资料如果出现差异和矛盾时，以中文为准。但不能故意错误翻译，否则，投标人的投标文件将作为无效投标处理。</w:t>
      </w:r>
    </w:p>
    <w:p>
      <w:pPr>
        <w:pStyle w:val="27"/>
        <w:bidi w:val="0"/>
        <w:rPr>
          <w:rFonts w:hint="eastAsia"/>
          <w:color w:val="auto"/>
          <w:highlight w:val="none"/>
        </w:rPr>
      </w:pPr>
      <w:bookmarkStart w:id="265" w:name="_Toc309897503"/>
      <w:bookmarkStart w:id="266" w:name="_Toc15145"/>
      <w:bookmarkStart w:id="267" w:name="_Toc20091"/>
      <w:bookmarkStart w:id="268" w:name="_Toc319439888"/>
      <w:bookmarkStart w:id="269" w:name="_Toc11901"/>
      <w:bookmarkStart w:id="270" w:name="_Toc327196274"/>
      <w:bookmarkStart w:id="271" w:name="_Toc12195"/>
      <w:bookmarkStart w:id="272" w:name="_Toc183582216"/>
      <w:bookmarkStart w:id="273" w:name="_Toc217446044"/>
      <w:bookmarkStart w:id="274" w:name="_Toc15226"/>
      <w:bookmarkStart w:id="275" w:name="_Toc307501097"/>
      <w:bookmarkStart w:id="276" w:name="_Toc2379"/>
      <w:bookmarkStart w:id="277" w:name="_Toc308084585"/>
      <w:bookmarkStart w:id="278" w:name="_Toc20188"/>
      <w:bookmarkStart w:id="279" w:name="_Toc17444"/>
      <w:bookmarkStart w:id="280" w:name="_Toc307564840"/>
      <w:bookmarkStart w:id="281" w:name="_Toc183682353"/>
      <w:bookmarkStart w:id="282" w:name="_Toc319440130"/>
      <w:bookmarkStart w:id="283" w:name="_Toc308188140"/>
      <w:bookmarkStart w:id="284" w:name="_Toc22909"/>
      <w:bookmarkStart w:id="285" w:name="_Toc12658"/>
      <w:bookmarkStart w:id="286" w:name="_Toc10594"/>
      <w:bookmarkStart w:id="287" w:name="_Toc18700"/>
      <w:r>
        <w:rPr>
          <w:rFonts w:hint="eastAsia"/>
          <w:color w:val="auto"/>
          <w:highlight w:val="none"/>
        </w:rPr>
        <w:t>计量单位</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color w:val="auto"/>
          <w:highlight w:val="none"/>
          <w:lang w:val="en-US" w:eastAsia="zh-CN"/>
        </w:rPr>
        <w:t>(实质性要求)</w:t>
      </w:r>
      <w:bookmarkEnd w:id="284"/>
      <w:bookmarkEnd w:id="285"/>
      <w:bookmarkEnd w:id="286"/>
      <w:bookmarkEnd w:id="287"/>
    </w:p>
    <w:p>
      <w:pPr>
        <w:pStyle w:val="29"/>
        <w:bidi w:val="0"/>
        <w:rPr>
          <w:rFonts w:hint="eastAsia"/>
          <w:color w:val="auto"/>
          <w:highlight w:val="none"/>
        </w:rPr>
      </w:pPr>
      <w:r>
        <w:rPr>
          <w:rFonts w:hint="eastAsia"/>
          <w:color w:val="auto"/>
          <w:highlight w:val="none"/>
        </w:rPr>
        <w:t>除技术规格及要求中另有规定外，本采购项下的投标均采用国家法定的计量单位。</w:t>
      </w:r>
    </w:p>
    <w:p>
      <w:pPr>
        <w:pStyle w:val="27"/>
        <w:bidi w:val="0"/>
        <w:rPr>
          <w:rFonts w:hint="eastAsia"/>
          <w:color w:val="auto"/>
          <w:highlight w:val="none"/>
        </w:rPr>
      </w:pPr>
      <w:bookmarkStart w:id="288" w:name="_Toc22739"/>
      <w:bookmarkStart w:id="289" w:name="_Toc319440131"/>
      <w:bookmarkStart w:id="290" w:name="_Toc217446045"/>
      <w:bookmarkStart w:id="291" w:name="_Toc25216"/>
      <w:bookmarkStart w:id="292" w:name="_Toc8881"/>
      <w:bookmarkStart w:id="293" w:name="_Toc307564841"/>
      <w:bookmarkStart w:id="294" w:name="_Toc308084586"/>
      <w:bookmarkStart w:id="295" w:name="_Toc8803"/>
      <w:bookmarkStart w:id="296" w:name="_Toc319439889"/>
      <w:bookmarkStart w:id="297" w:name="_Toc309897504"/>
      <w:bookmarkStart w:id="298" w:name="_Toc307501098"/>
      <w:bookmarkStart w:id="299" w:name="_Toc308188141"/>
      <w:bookmarkStart w:id="300" w:name="_Toc15435"/>
      <w:bookmarkStart w:id="301" w:name="_Toc16798"/>
      <w:bookmarkStart w:id="302" w:name="_Toc698"/>
      <w:bookmarkStart w:id="303" w:name="_Toc24761"/>
      <w:bookmarkStart w:id="304" w:name="_Toc327196275"/>
      <w:bookmarkStart w:id="305" w:name="_Toc20780"/>
      <w:bookmarkStart w:id="306" w:name="_Toc30923"/>
      <w:bookmarkStart w:id="307" w:name="_Toc11633"/>
      <w:bookmarkStart w:id="308" w:name="_Toc19960"/>
      <w:r>
        <w:rPr>
          <w:rFonts w:hint="eastAsia"/>
          <w:color w:val="auto"/>
          <w:highlight w:val="none"/>
        </w:rPr>
        <w:t>投标货币</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color w:val="auto"/>
          <w:highlight w:val="none"/>
          <w:lang w:val="en-US" w:eastAsia="zh-CN"/>
        </w:rPr>
        <w:t>(实质性要求)</w:t>
      </w:r>
      <w:bookmarkEnd w:id="305"/>
      <w:bookmarkEnd w:id="306"/>
      <w:bookmarkEnd w:id="307"/>
      <w:bookmarkEnd w:id="308"/>
    </w:p>
    <w:p>
      <w:pPr>
        <w:pStyle w:val="29"/>
        <w:bidi w:val="0"/>
        <w:rPr>
          <w:rFonts w:hint="eastAsia"/>
          <w:color w:val="auto"/>
          <w:highlight w:val="none"/>
        </w:rPr>
      </w:pPr>
      <w:r>
        <w:rPr>
          <w:rFonts w:hint="eastAsia"/>
          <w:color w:val="auto"/>
          <w:highlight w:val="none"/>
        </w:rPr>
        <w:t>本次招标项目的投标均以人民币报价。</w:t>
      </w:r>
    </w:p>
    <w:p>
      <w:pPr>
        <w:pStyle w:val="27"/>
        <w:bidi w:val="0"/>
        <w:rPr>
          <w:rFonts w:hint="eastAsia"/>
          <w:color w:val="auto"/>
          <w:highlight w:val="none"/>
          <w:lang w:eastAsia="zh-CN"/>
        </w:rPr>
      </w:pPr>
      <w:bookmarkStart w:id="309" w:name="_Toc21894"/>
      <w:bookmarkStart w:id="310" w:name="_Toc309897505"/>
      <w:bookmarkStart w:id="311" w:name="_Toc32108"/>
      <w:bookmarkStart w:id="312" w:name="_Toc7935"/>
      <w:bookmarkStart w:id="313" w:name="_Toc16409"/>
      <w:bookmarkStart w:id="314" w:name="_Toc319440132"/>
      <w:bookmarkStart w:id="315" w:name="_Toc308084587"/>
      <w:bookmarkStart w:id="316" w:name="_Toc25923"/>
      <w:bookmarkStart w:id="317" w:name="_Toc24432"/>
      <w:bookmarkStart w:id="318" w:name="_Toc15074"/>
      <w:bookmarkStart w:id="319" w:name="_Toc21797"/>
      <w:bookmarkStart w:id="320" w:name="_Toc327196276"/>
      <w:bookmarkStart w:id="321" w:name="_Toc4336"/>
      <w:bookmarkStart w:id="322" w:name="_Toc308188142"/>
      <w:bookmarkStart w:id="323" w:name="_Toc307564842"/>
      <w:bookmarkStart w:id="324" w:name="_Toc319439890"/>
      <w:bookmarkStart w:id="325" w:name="_Toc8550"/>
      <w:bookmarkStart w:id="326" w:name="_Toc217446046"/>
      <w:bookmarkStart w:id="327" w:name="_Toc307501099"/>
      <w:bookmarkStart w:id="328" w:name="_Toc25266"/>
      <w:bookmarkStart w:id="329" w:name="_Toc32667"/>
      <w:bookmarkStart w:id="330" w:name="_Toc18068"/>
      <w:bookmarkStart w:id="331" w:name="_Toc2050"/>
      <w:bookmarkStart w:id="332" w:name="_Toc319439891"/>
      <w:bookmarkStart w:id="333" w:name="_Toc27877"/>
      <w:bookmarkStart w:id="334" w:name="_Toc18912"/>
      <w:bookmarkStart w:id="335" w:name="_Toc309897506"/>
      <w:bookmarkStart w:id="336" w:name="_Toc13754"/>
      <w:bookmarkStart w:id="337" w:name="_Toc308188143"/>
      <w:bookmarkStart w:id="338" w:name="_Toc307564843"/>
      <w:bookmarkStart w:id="339" w:name="_Toc7819"/>
      <w:bookmarkStart w:id="340" w:name="_Toc10974"/>
      <w:bookmarkStart w:id="341" w:name="_Toc217446047"/>
      <w:bookmarkStart w:id="342" w:name="_Toc3781"/>
      <w:bookmarkStart w:id="343" w:name="_Toc327196277"/>
      <w:bookmarkStart w:id="344" w:name="_Toc30958"/>
      <w:bookmarkStart w:id="345" w:name="_Toc307501100"/>
      <w:bookmarkStart w:id="346" w:name="_Toc308084588"/>
      <w:bookmarkStart w:id="347" w:name="_Toc319440133"/>
      <w:bookmarkStart w:id="348" w:name="_Toc15468"/>
      <w:bookmarkStart w:id="349" w:name="_Toc9626"/>
      <w:r>
        <w:rPr>
          <w:rFonts w:hint="eastAsia"/>
          <w:color w:val="auto"/>
          <w:highlight w:val="none"/>
        </w:rPr>
        <w:t>联合体投标</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color w:val="auto"/>
          <w:highlight w:val="none"/>
          <w:lang w:val="en-US" w:eastAsia="zh-CN"/>
        </w:rPr>
        <w:t>(实质性要求)</w:t>
      </w:r>
      <w:bookmarkEnd w:id="330"/>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default" w:eastAsia="宋体"/>
          <w:color w:val="auto"/>
          <w:highlight w:val="none"/>
          <w:lang w:val="en-US" w:eastAsia="zh-CN"/>
        </w:rPr>
      </w:pPr>
      <w:bookmarkStart w:id="350" w:name="_Toc30421"/>
      <w:r>
        <w:rPr>
          <w:rFonts w:hint="eastAsia"/>
          <w:color w:val="auto"/>
          <w:highlight w:val="none"/>
          <w:lang w:val="en-US" w:eastAsia="zh-CN"/>
        </w:rPr>
        <w:t>本项目不接受联合体投标。</w:t>
      </w:r>
    </w:p>
    <w:p>
      <w:pPr>
        <w:pStyle w:val="27"/>
        <w:bidi w:val="0"/>
        <w:rPr>
          <w:rFonts w:hint="eastAsia"/>
          <w:color w:val="auto"/>
          <w:highlight w:val="none"/>
        </w:rPr>
      </w:pPr>
      <w:bookmarkStart w:id="351" w:name="_Toc32146"/>
      <w:r>
        <w:rPr>
          <w:rFonts w:hint="eastAsia"/>
          <w:color w:val="auto"/>
          <w:highlight w:val="none"/>
        </w:rPr>
        <w:t>知识产权</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color w:val="auto"/>
          <w:highlight w:val="none"/>
          <w:lang w:val="en-US" w:eastAsia="zh-CN"/>
        </w:rPr>
        <w:t>(实质性要求)</w:t>
      </w:r>
      <w:bookmarkEnd w:id="348"/>
      <w:bookmarkEnd w:id="349"/>
      <w:bookmarkEnd w:id="350"/>
      <w:bookmarkEnd w:id="351"/>
    </w:p>
    <w:p>
      <w:pPr>
        <w:pStyle w:val="28"/>
        <w:bidi w:val="0"/>
        <w:rPr>
          <w:color w:val="auto"/>
          <w:highlight w:val="none"/>
        </w:rPr>
      </w:pPr>
      <w:bookmarkStart w:id="352" w:name="_Toc319440134"/>
      <w:bookmarkStart w:id="353" w:name="_Toc8432"/>
      <w:bookmarkStart w:id="354" w:name="_Toc2706"/>
      <w:bookmarkStart w:id="355" w:name="_Toc183582217"/>
      <w:bookmarkStart w:id="356" w:name="_Toc16281"/>
      <w:bookmarkStart w:id="357" w:name="_Toc307501101"/>
      <w:bookmarkStart w:id="358" w:name="_Toc309897507"/>
      <w:bookmarkStart w:id="359" w:name="_Toc7660"/>
      <w:bookmarkStart w:id="360" w:name="_Toc6143"/>
      <w:bookmarkStart w:id="361" w:name="_Toc307564844"/>
      <w:bookmarkStart w:id="362" w:name="_Toc308084589"/>
      <w:bookmarkStart w:id="363" w:name="_Toc5369"/>
      <w:bookmarkStart w:id="364" w:name="_Toc183682354"/>
      <w:bookmarkStart w:id="365" w:name="_Toc30708"/>
      <w:bookmarkStart w:id="366" w:name="_Toc308188144"/>
      <w:bookmarkStart w:id="367" w:name="_Toc11856"/>
      <w:bookmarkStart w:id="368" w:name="_Toc217446048"/>
      <w:bookmarkStart w:id="369" w:name="_Toc327196278"/>
      <w:bookmarkStart w:id="370" w:name="_Toc319439892"/>
      <w:bookmarkStart w:id="371" w:name="_Toc1140"/>
      <w:bookmarkStart w:id="372" w:name="_Toc10817"/>
      <w:r>
        <w:rPr>
          <w:rFonts w:hint="eastAsia"/>
          <w:color w:val="auto"/>
          <w:highlight w:val="none"/>
        </w:rPr>
        <w:t>投标人在本项目使用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8"/>
        <w:bidi w:val="0"/>
        <w:rPr>
          <w:color w:val="auto"/>
          <w:highlight w:val="none"/>
        </w:rPr>
      </w:pPr>
      <w:r>
        <w:rPr>
          <w:rFonts w:hint="eastAsia"/>
          <w:color w:val="auto"/>
          <w:highlight w:val="none"/>
        </w:rPr>
        <w:t>采购人享有本项目实施过程中产生的知识成果及知识产权。</w:t>
      </w:r>
    </w:p>
    <w:p>
      <w:pPr>
        <w:pStyle w:val="28"/>
        <w:bidi w:val="0"/>
        <w:rPr>
          <w:color w:val="auto"/>
          <w:highlight w:val="none"/>
        </w:rPr>
      </w:pPr>
      <w:r>
        <w:rPr>
          <w:rFonts w:hint="eastAsia"/>
          <w:color w:val="auto"/>
          <w:highlight w:val="none"/>
        </w:rPr>
        <w:t>投标人如欲在项目实施过程中采用自有知识成果，需在投标文件中声明，并提供相关知识产权证明文件。使用该知识成果后，投标人需提供</w:t>
      </w:r>
      <w:r>
        <w:rPr>
          <w:rFonts w:hint="eastAsia"/>
          <w:color w:val="auto"/>
          <w:highlight w:val="none"/>
          <w:lang w:val="en-US" w:eastAsia="zh-CN"/>
        </w:rPr>
        <w:t>相关</w:t>
      </w:r>
      <w:r>
        <w:rPr>
          <w:rFonts w:hint="eastAsia"/>
          <w:color w:val="auto"/>
          <w:highlight w:val="none"/>
        </w:rPr>
        <w:t>技术文档，并承诺提供无限期技术支持，采购人享有永久使用权</w:t>
      </w:r>
      <w:r>
        <w:rPr>
          <w:rFonts w:hint="eastAsia"/>
          <w:color w:val="auto"/>
          <w:highlight w:val="none"/>
          <w:lang w:eastAsia="zh-CN"/>
        </w:rPr>
        <w:t>，</w:t>
      </w:r>
      <w:r>
        <w:rPr>
          <w:color w:val="auto"/>
          <w:highlight w:val="none"/>
        </w:rPr>
        <w:t>同时需在投标文件中提供声明，并提供相关知识产权证明文件，否则视为投标人未在本项目实施过程中采用自有知识成果，不影响有效性</w:t>
      </w:r>
      <w:r>
        <w:rPr>
          <w:rFonts w:hint="eastAsia"/>
          <w:color w:val="auto"/>
          <w:highlight w:val="none"/>
        </w:rPr>
        <w:t>。</w:t>
      </w:r>
    </w:p>
    <w:p>
      <w:pPr>
        <w:pStyle w:val="28"/>
        <w:bidi w:val="0"/>
        <w:rPr>
          <w:color w:val="auto"/>
          <w:highlight w:val="none"/>
        </w:rPr>
      </w:pPr>
      <w:r>
        <w:rPr>
          <w:rFonts w:hint="eastAsia"/>
          <w:color w:val="auto"/>
          <w:highlight w:val="none"/>
        </w:rPr>
        <w:t xml:space="preserve">如采用投标人所不拥有的知识产权，则在投标报价中必须包括合法获取该知识产权的相关费用。 </w:t>
      </w:r>
    </w:p>
    <w:p>
      <w:pPr>
        <w:pStyle w:val="28"/>
        <w:bidi w:val="0"/>
        <w:rPr>
          <w:color w:val="auto"/>
          <w:highlight w:val="none"/>
        </w:rPr>
      </w:pPr>
      <w:r>
        <w:rPr>
          <w:rFonts w:hint="eastAsia"/>
          <w:color w:val="auto"/>
          <w:highlight w:val="none"/>
        </w:rPr>
        <w:t>如采购项目涉及知识产权时按照此条要求执行</w:t>
      </w:r>
      <w:r>
        <w:rPr>
          <w:rFonts w:hint="eastAsia"/>
          <w:color w:val="auto"/>
          <w:highlight w:val="none"/>
          <w:lang w:val="en-US" w:eastAsia="zh-CN"/>
        </w:rPr>
        <w:t>，并在评审时作实质性审查。</w:t>
      </w:r>
    </w:p>
    <w:p>
      <w:pPr>
        <w:pStyle w:val="27"/>
        <w:bidi w:val="0"/>
        <w:rPr>
          <w:rFonts w:hint="eastAsia"/>
          <w:color w:val="auto"/>
          <w:highlight w:val="none"/>
        </w:rPr>
      </w:pPr>
      <w:bookmarkStart w:id="373" w:name="_Toc28370"/>
      <w:bookmarkStart w:id="374" w:name="_Toc19770"/>
      <w:r>
        <w:rPr>
          <w:rFonts w:hint="eastAsia"/>
          <w:color w:val="auto"/>
          <w:highlight w:val="none"/>
        </w:rPr>
        <w:t>投标文件的组成</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29"/>
        <w:bidi w:val="0"/>
        <w:rPr>
          <w:rFonts w:hint="eastAsia"/>
          <w:color w:val="auto"/>
          <w:highlight w:val="none"/>
        </w:rPr>
      </w:pPr>
      <w:bookmarkStart w:id="375" w:name="_Toc183582218"/>
      <w:bookmarkStart w:id="376" w:name="_Toc307501102"/>
      <w:bookmarkStart w:id="377" w:name="_Toc217446049"/>
      <w:bookmarkStart w:id="378" w:name="_Toc183682355"/>
      <w:r>
        <w:rPr>
          <w:rFonts w:hint="eastAsia"/>
          <w:color w:val="auto"/>
          <w:highlight w:val="none"/>
        </w:rPr>
        <w:t>投标人应按照招标文件的规定和要求编制投标文件，否则视为无效投标。投标人拟在中标后将中标项目的非主体、非关键性工作交由他人完成的，应当在投标文件中载明。投标人编写的投标文件应包括</w:t>
      </w:r>
      <w:r>
        <w:rPr>
          <w:rFonts w:hint="eastAsia"/>
          <w:color w:val="auto"/>
          <w:highlight w:val="none"/>
          <w:lang w:val="en-US" w:eastAsia="zh-CN"/>
        </w:rPr>
        <w:t>以下两</w:t>
      </w:r>
      <w:r>
        <w:rPr>
          <w:rFonts w:hint="eastAsia"/>
          <w:color w:val="auto"/>
          <w:highlight w:val="none"/>
        </w:rPr>
        <w:t>部分：</w:t>
      </w:r>
    </w:p>
    <w:p>
      <w:pPr>
        <w:pStyle w:val="28"/>
        <w:bidi w:val="0"/>
        <w:rPr>
          <w:rFonts w:hint="eastAsia"/>
          <w:color w:val="auto"/>
          <w:highlight w:val="none"/>
          <w:lang w:val="en-US" w:eastAsia="zh-CN"/>
        </w:rPr>
      </w:pPr>
      <w:r>
        <w:rPr>
          <w:rFonts w:hint="eastAsia"/>
          <w:color w:val="auto"/>
          <w:highlight w:val="none"/>
          <w:lang w:val="en-US" w:eastAsia="zh-CN"/>
        </w:rPr>
        <w:t>第一部分：资格、资质性及其他类似效力投标文件(用于资格审查)</w:t>
      </w:r>
    </w:p>
    <w:p>
      <w:pPr>
        <w:pStyle w:val="29"/>
        <w:bidi w:val="0"/>
        <w:rPr>
          <w:rFonts w:hint="eastAsia"/>
          <w:color w:val="auto"/>
          <w:highlight w:val="none"/>
          <w:lang w:val="en-US" w:eastAsia="zh-CN"/>
        </w:rPr>
      </w:pPr>
      <w:r>
        <w:rPr>
          <w:rFonts w:hint="eastAsia"/>
          <w:color w:val="auto"/>
          <w:highlight w:val="none"/>
          <w:lang w:val="en-US" w:eastAsia="zh-CN"/>
        </w:rPr>
        <w:t>按照招标文件第四、五章要求提供相关资格、资质性及其他类似效力要求的相关证明材料。</w:t>
      </w:r>
    </w:p>
    <w:p>
      <w:pPr>
        <w:pStyle w:val="28"/>
        <w:bidi w:val="0"/>
        <w:rPr>
          <w:rFonts w:hint="eastAsia"/>
          <w:color w:val="auto"/>
          <w:highlight w:val="none"/>
          <w:lang w:eastAsia="zh-CN"/>
        </w:rPr>
      </w:pPr>
      <w:r>
        <w:rPr>
          <w:rFonts w:hint="eastAsia"/>
          <w:color w:val="auto"/>
          <w:highlight w:val="none"/>
          <w:lang w:val="en-US" w:eastAsia="zh-CN"/>
        </w:rPr>
        <w:t>第二部分</w:t>
      </w:r>
      <w:r>
        <w:rPr>
          <w:rFonts w:hint="eastAsia"/>
          <w:color w:val="auto"/>
          <w:highlight w:val="none"/>
        </w:rPr>
        <w:t>：其它投标文件</w:t>
      </w:r>
      <w:r>
        <w:rPr>
          <w:rFonts w:hint="eastAsia"/>
          <w:color w:val="auto"/>
          <w:highlight w:val="none"/>
          <w:lang w:eastAsia="zh-CN"/>
        </w:rPr>
        <w:t>(</w:t>
      </w:r>
      <w:r>
        <w:rPr>
          <w:rFonts w:hint="eastAsia"/>
          <w:color w:val="auto"/>
          <w:highlight w:val="none"/>
        </w:rPr>
        <w:t>用于资格审查以外的评标</w:t>
      </w:r>
      <w:r>
        <w:rPr>
          <w:rFonts w:hint="eastAsia"/>
          <w:color w:val="auto"/>
          <w:highlight w:val="none"/>
          <w:lang w:eastAsia="zh-CN"/>
        </w:rPr>
        <w:t>)</w:t>
      </w:r>
    </w:p>
    <w:p>
      <w:pPr>
        <w:pStyle w:val="29"/>
        <w:bidi w:val="0"/>
        <w:rPr>
          <w:rFonts w:hint="eastAsia"/>
          <w:color w:val="auto"/>
          <w:highlight w:val="none"/>
          <w:lang w:val="en-US" w:eastAsia="zh-CN"/>
        </w:rPr>
      </w:pPr>
      <w:r>
        <w:rPr>
          <w:rFonts w:hint="eastAsia"/>
          <w:color w:val="auto"/>
          <w:highlight w:val="none"/>
          <w:lang w:val="en-US" w:eastAsia="zh-CN"/>
        </w:rPr>
        <w:t>按照招标文件要求提供以下相关材料：</w:t>
      </w:r>
    </w:p>
    <w:p>
      <w:pPr>
        <w:pStyle w:val="30"/>
        <w:bidi w:val="0"/>
        <w:rPr>
          <w:rFonts w:hint="eastAsia"/>
          <w:b/>
          <w:bCs/>
          <w:color w:val="auto"/>
          <w:highlight w:val="none"/>
        </w:rPr>
      </w:pPr>
      <w:r>
        <w:rPr>
          <w:rFonts w:hint="eastAsia"/>
          <w:b/>
          <w:bCs/>
          <w:color w:val="auto"/>
          <w:highlight w:val="none"/>
        </w:rPr>
        <w:t>报价部分</w:t>
      </w:r>
    </w:p>
    <w:p>
      <w:pPr>
        <w:pStyle w:val="41"/>
        <w:numPr>
          <w:ilvl w:val="3"/>
          <w:numId w:val="0"/>
        </w:numPr>
        <w:bidi w:val="0"/>
        <w:ind w:leftChars="200"/>
        <w:rPr>
          <w:rFonts w:hint="eastAsia"/>
          <w:color w:val="auto"/>
          <w:highlight w:val="none"/>
        </w:rPr>
      </w:pPr>
      <w:r>
        <w:rPr>
          <w:rFonts w:hint="eastAsia"/>
          <w:color w:val="auto"/>
          <w:highlight w:val="none"/>
        </w:rPr>
        <w:t>投标人按照以下要求填写的“开标一览表”。本次招标报价要求：</w:t>
      </w:r>
    </w:p>
    <w:p>
      <w:pPr>
        <w:pStyle w:val="31"/>
        <w:bidi w:val="0"/>
        <w:rPr>
          <w:color w:val="auto"/>
          <w:highlight w:val="none"/>
        </w:rPr>
      </w:pPr>
      <w:r>
        <w:rPr>
          <w:rFonts w:hint="eastAsia"/>
          <w:color w:val="auto"/>
          <w:highlight w:val="none"/>
        </w:rPr>
        <w:t>投标人的报价是投标人响应招标项目要求的全部</w:t>
      </w:r>
      <w:r>
        <w:rPr>
          <w:rFonts w:hint="eastAsia"/>
          <w:color w:val="auto"/>
          <w:highlight w:val="none"/>
          <w:lang w:val="en-US" w:eastAsia="zh-CN"/>
        </w:rPr>
        <w:t>采购</w:t>
      </w:r>
      <w:r>
        <w:rPr>
          <w:rFonts w:hint="eastAsia"/>
          <w:color w:val="auto"/>
          <w:highlight w:val="none"/>
        </w:rPr>
        <w:t>内容的价格体现，包括完成本项目所涉及的一切费用</w:t>
      </w:r>
      <w:r>
        <w:rPr>
          <w:rFonts w:hint="eastAsia"/>
          <w:b/>
          <w:bCs/>
          <w:color w:val="auto"/>
          <w:highlight w:val="none"/>
          <w:lang w:val="zh-CN"/>
        </w:rPr>
        <w:t>(实质性要求)</w:t>
      </w:r>
      <w:r>
        <w:rPr>
          <w:rFonts w:hint="eastAsia"/>
          <w:color w:val="auto"/>
          <w:highlight w:val="none"/>
        </w:rPr>
        <w:t>。</w:t>
      </w:r>
    </w:p>
    <w:p>
      <w:pPr>
        <w:pStyle w:val="31"/>
        <w:bidi w:val="0"/>
        <w:rPr>
          <w:color w:val="auto"/>
          <w:highlight w:val="none"/>
        </w:rPr>
      </w:pPr>
      <w:r>
        <w:rPr>
          <w:rFonts w:hint="eastAsia"/>
          <w:color w:val="auto"/>
          <w:highlight w:val="none"/>
        </w:rPr>
        <w:t>投标人只允许有一个报价，并且在合同履行过程中是固定不变的，任何有选择或可调整的报价将不予接受，并按无效投标处理</w:t>
      </w:r>
      <w:r>
        <w:rPr>
          <w:rFonts w:hint="eastAsia"/>
          <w:b/>
          <w:bCs/>
          <w:color w:val="auto"/>
          <w:highlight w:val="none"/>
          <w:lang w:val="zh-CN"/>
        </w:rPr>
        <w:t>(实质性要求)</w:t>
      </w:r>
      <w:r>
        <w:rPr>
          <w:rFonts w:hint="eastAsia"/>
          <w:color w:val="auto"/>
          <w:highlight w:val="none"/>
        </w:rPr>
        <w:t>。</w:t>
      </w:r>
    </w:p>
    <w:p>
      <w:pPr>
        <w:pStyle w:val="30"/>
        <w:bidi w:val="0"/>
        <w:rPr>
          <w:rFonts w:hint="eastAsia"/>
          <w:b/>
          <w:bCs/>
          <w:color w:val="auto"/>
          <w:highlight w:val="none"/>
          <w:lang w:val="zh-CN"/>
        </w:rPr>
      </w:pPr>
      <w:r>
        <w:rPr>
          <w:rFonts w:hint="eastAsia"/>
          <w:b/>
          <w:bCs/>
          <w:color w:val="auto"/>
          <w:highlight w:val="none"/>
        </w:rPr>
        <w:t>技术</w:t>
      </w:r>
      <w:r>
        <w:rPr>
          <w:rFonts w:hint="eastAsia"/>
          <w:b/>
          <w:bCs/>
          <w:color w:val="auto"/>
          <w:highlight w:val="none"/>
          <w:lang w:val="zh-CN"/>
        </w:rPr>
        <w:t>部分</w:t>
      </w:r>
    </w:p>
    <w:p>
      <w:pPr>
        <w:pStyle w:val="29"/>
        <w:bidi w:val="0"/>
        <w:rPr>
          <w:rFonts w:hint="eastAsia"/>
          <w:color w:val="auto"/>
          <w:highlight w:val="none"/>
          <w:lang w:val="zh-CN"/>
        </w:rPr>
      </w:pPr>
      <w:r>
        <w:rPr>
          <w:rFonts w:hint="eastAsia"/>
          <w:color w:val="auto"/>
          <w:highlight w:val="none"/>
          <w:lang w:val="zh-CN"/>
        </w:rPr>
        <w:t>投标人按照招标文件要求做出的</w:t>
      </w:r>
      <w:r>
        <w:rPr>
          <w:rFonts w:hint="eastAsia"/>
          <w:color w:val="auto"/>
          <w:highlight w:val="none"/>
        </w:rPr>
        <w:t>技术</w:t>
      </w:r>
      <w:r>
        <w:rPr>
          <w:rFonts w:hint="eastAsia"/>
          <w:color w:val="auto"/>
          <w:highlight w:val="none"/>
          <w:lang w:val="zh-CN"/>
        </w:rPr>
        <w:t>应答，主要是针对招标项目的</w:t>
      </w:r>
      <w:r>
        <w:rPr>
          <w:rFonts w:hint="eastAsia"/>
          <w:color w:val="auto"/>
          <w:highlight w:val="none"/>
        </w:rPr>
        <w:t>技术</w:t>
      </w:r>
      <w:r>
        <w:rPr>
          <w:rFonts w:hint="eastAsia"/>
          <w:color w:val="auto"/>
          <w:highlight w:val="none"/>
          <w:lang w:val="zh-CN"/>
        </w:rPr>
        <w:t>要求做出的实质性响应和满足。投标人的</w:t>
      </w:r>
      <w:r>
        <w:rPr>
          <w:rFonts w:hint="eastAsia"/>
          <w:color w:val="auto"/>
          <w:highlight w:val="none"/>
        </w:rPr>
        <w:t>技术应答</w:t>
      </w:r>
      <w:r>
        <w:rPr>
          <w:rFonts w:hint="eastAsia"/>
          <w:color w:val="auto"/>
          <w:highlight w:val="none"/>
          <w:lang w:val="en-US" w:eastAsia="zh-CN"/>
        </w:rPr>
        <w:t>应尽可能</w:t>
      </w:r>
      <w:r>
        <w:rPr>
          <w:rFonts w:hint="eastAsia"/>
          <w:color w:val="auto"/>
          <w:highlight w:val="none"/>
          <w:lang w:val="zh-CN"/>
        </w:rPr>
        <w:t>包括下列内容：</w:t>
      </w:r>
    </w:p>
    <w:p>
      <w:pPr>
        <w:pStyle w:val="31"/>
        <w:bidi w:val="0"/>
        <w:rPr>
          <w:rFonts w:hint="eastAsia"/>
          <w:color w:val="auto"/>
          <w:highlight w:val="none"/>
        </w:rPr>
      </w:pPr>
      <w:r>
        <w:rPr>
          <w:rFonts w:hint="eastAsia"/>
          <w:color w:val="auto"/>
          <w:highlight w:val="none"/>
        </w:rPr>
        <w:t>投标产品的品牌、</w:t>
      </w:r>
      <w:r>
        <w:rPr>
          <w:rFonts w:hint="eastAsia"/>
          <w:color w:val="auto"/>
          <w:highlight w:val="none"/>
          <w:lang w:val="en-US" w:eastAsia="zh-CN"/>
        </w:rPr>
        <w:t>规格、</w:t>
      </w:r>
      <w:r>
        <w:rPr>
          <w:rFonts w:hint="eastAsia"/>
          <w:color w:val="auto"/>
          <w:highlight w:val="none"/>
        </w:rPr>
        <w:t>型号、</w:t>
      </w:r>
      <w:r>
        <w:rPr>
          <w:rFonts w:hint="eastAsia"/>
          <w:color w:val="auto"/>
          <w:highlight w:val="none"/>
          <w:lang w:val="en-US" w:eastAsia="zh-CN"/>
        </w:rPr>
        <w:t>产地、</w:t>
      </w:r>
      <w:r>
        <w:rPr>
          <w:rFonts w:hint="eastAsia"/>
          <w:color w:val="auto"/>
          <w:highlight w:val="none"/>
        </w:rPr>
        <w:t>配置；</w:t>
      </w:r>
    </w:p>
    <w:p>
      <w:pPr>
        <w:pStyle w:val="31"/>
        <w:bidi w:val="0"/>
        <w:rPr>
          <w:rFonts w:hint="eastAsia"/>
          <w:color w:val="auto"/>
          <w:highlight w:val="none"/>
        </w:rPr>
      </w:pPr>
      <w:r>
        <w:rPr>
          <w:rFonts w:hint="eastAsia"/>
          <w:color w:val="auto"/>
          <w:highlight w:val="none"/>
        </w:rPr>
        <w:t>投标产品本身的详细的技术指标和参数</w:t>
      </w:r>
      <w:r>
        <w:rPr>
          <w:rFonts w:hint="eastAsia"/>
          <w:color w:val="auto"/>
          <w:highlight w:val="none"/>
          <w:lang w:eastAsia="zh-CN"/>
        </w:rPr>
        <w:t>(</w:t>
      </w:r>
      <w:r>
        <w:rPr>
          <w:rFonts w:hint="eastAsia"/>
          <w:color w:val="auto"/>
          <w:highlight w:val="none"/>
        </w:rPr>
        <w:t>应当尽可能提供检测报告、产品使用说明书、用户手册等材料予以佐证</w:t>
      </w:r>
      <w:r>
        <w:rPr>
          <w:rFonts w:hint="eastAsia"/>
          <w:color w:val="auto"/>
          <w:highlight w:val="none"/>
          <w:lang w:eastAsia="zh-CN"/>
        </w:rPr>
        <w:t>)</w:t>
      </w:r>
      <w:r>
        <w:rPr>
          <w:rFonts w:hint="eastAsia"/>
          <w:color w:val="auto"/>
          <w:highlight w:val="none"/>
        </w:rPr>
        <w:t>；</w:t>
      </w:r>
    </w:p>
    <w:p>
      <w:pPr>
        <w:pStyle w:val="31"/>
        <w:bidi w:val="0"/>
        <w:rPr>
          <w:rFonts w:hint="eastAsia"/>
          <w:color w:val="auto"/>
          <w:highlight w:val="none"/>
        </w:rPr>
      </w:pPr>
      <w:r>
        <w:rPr>
          <w:rFonts w:hint="eastAsia"/>
          <w:color w:val="auto"/>
          <w:highlight w:val="none"/>
          <w:lang w:val="en-US" w:eastAsia="zh-CN"/>
        </w:rPr>
        <w:t>培训及售后服务</w:t>
      </w:r>
      <w:r>
        <w:rPr>
          <w:rFonts w:hint="eastAsia"/>
          <w:color w:val="auto"/>
          <w:highlight w:val="none"/>
        </w:rPr>
        <w:t>方案；</w:t>
      </w:r>
    </w:p>
    <w:p>
      <w:pPr>
        <w:pStyle w:val="31"/>
        <w:bidi w:val="0"/>
        <w:rPr>
          <w:rFonts w:hint="eastAsia"/>
          <w:color w:val="auto"/>
          <w:highlight w:val="none"/>
        </w:rPr>
      </w:pPr>
      <w:r>
        <w:rPr>
          <w:rFonts w:hint="eastAsia"/>
          <w:color w:val="auto"/>
          <w:highlight w:val="none"/>
        </w:rPr>
        <w:t>投标产品技术参数</w:t>
      </w:r>
      <w:r>
        <w:rPr>
          <w:rFonts w:hint="eastAsia"/>
          <w:color w:val="auto"/>
          <w:highlight w:val="none"/>
          <w:lang w:val="en-US" w:eastAsia="zh-CN"/>
        </w:rPr>
        <w:t>响应</w:t>
      </w:r>
      <w:r>
        <w:rPr>
          <w:rFonts w:hint="eastAsia"/>
          <w:color w:val="auto"/>
          <w:highlight w:val="none"/>
        </w:rPr>
        <w:t>表；</w:t>
      </w:r>
    </w:p>
    <w:p>
      <w:pPr>
        <w:pStyle w:val="31"/>
        <w:bidi w:val="0"/>
        <w:rPr>
          <w:rFonts w:hint="eastAsia"/>
          <w:color w:val="auto"/>
          <w:highlight w:val="none"/>
        </w:rPr>
      </w:pPr>
      <w:r>
        <w:rPr>
          <w:rFonts w:hint="eastAsia"/>
          <w:color w:val="auto"/>
          <w:highlight w:val="none"/>
        </w:rPr>
        <w:t>产品彩页资料</w:t>
      </w:r>
      <w:r>
        <w:rPr>
          <w:rFonts w:hint="eastAsia"/>
          <w:color w:val="auto"/>
          <w:highlight w:val="none"/>
          <w:lang w:eastAsia="zh-CN"/>
        </w:rPr>
        <w:t>(</w:t>
      </w:r>
      <w:r>
        <w:rPr>
          <w:rFonts w:hint="eastAsia"/>
          <w:color w:val="auto"/>
          <w:highlight w:val="none"/>
          <w:lang w:val="en-US" w:eastAsia="zh-CN"/>
        </w:rPr>
        <w:t>如涉及</w:t>
      </w:r>
      <w:r>
        <w:rPr>
          <w:rFonts w:hint="eastAsia"/>
          <w:color w:val="auto"/>
          <w:highlight w:val="none"/>
        </w:rPr>
        <w:t>需经过有关部门广告审核</w:t>
      </w:r>
      <w:r>
        <w:rPr>
          <w:rFonts w:hint="eastAsia"/>
          <w:color w:val="auto"/>
          <w:highlight w:val="none"/>
          <w:lang w:eastAsia="zh-CN"/>
        </w:rPr>
        <w:t>)</w:t>
      </w:r>
      <w:r>
        <w:rPr>
          <w:rFonts w:hint="eastAsia"/>
          <w:color w:val="auto"/>
          <w:highlight w:val="none"/>
        </w:rPr>
        <w:t>；</w:t>
      </w:r>
    </w:p>
    <w:p>
      <w:pPr>
        <w:pStyle w:val="31"/>
        <w:bidi w:val="0"/>
        <w:rPr>
          <w:rFonts w:hint="eastAsia"/>
          <w:color w:val="auto"/>
          <w:highlight w:val="none"/>
        </w:rPr>
      </w:pPr>
      <w:r>
        <w:rPr>
          <w:rFonts w:hint="eastAsia"/>
          <w:color w:val="auto"/>
          <w:highlight w:val="none"/>
        </w:rPr>
        <w:t>产品</w:t>
      </w:r>
      <w:r>
        <w:rPr>
          <w:rFonts w:hint="eastAsia"/>
          <w:color w:val="auto"/>
          <w:highlight w:val="none"/>
          <w:lang w:val="en-US" w:eastAsia="zh-CN"/>
        </w:rPr>
        <w:t>使用</w:t>
      </w:r>
      <w:r>
        <w:rPr>
          <w:rFonts w:hint="eastAsia"/>
          <w:color w:val="auto"/>
          <w:highlight w:val="none"/>
        </w:rPr>
        <w:t>环境条件；</w:t>
      </w:r>
    </w:p>
    <w:p>
      <w:pPr>
        <w:pStyle w:val="31"/>
        <w:bidi w:val="0"/>
        <w:rPr>
          <w:rFonts w:hint="eastAsia"/>
          <w:color w:val="auto"/>
          <w:highlight w:val="none"/>
        </w:rPr>
      </w:pPr>
      <w:r>
        <w:rPr>
          <w:rFonts w:hint="eastAsia"/>
          <w:color w:val="auto"/>
          <w:highlight w:val="none"/>
        </w:rPr>
        <w:t>产品验收标准和验收方法；</w:t>
      </w:r>
    </w:p>
    <w:p>
      <w:pPr>
        <w:pStyle w:val="31"/>
        <w:bidi w:val="0"/>
        <w:rPr>
          <w:rFonts w:hint="eastAsia"/>
          <w:color w:val="auto"/>
          <w:highlight w:val="none"/>
        </w:rPr>
      </w:pPr>
      <w:r>
        <w:rPr>
          <w:rFonts w:hint="eastAsia"/>
          <w:color w:val="auto"/>
          <w:highlight w:val="none"/>
        </w:rPr>
        <w:t>产品验收清单</w:t>
      </w:r>
      <w:r>
        <w:rPr>
          <w:rFonts w:hint="eastAsia"/>
          <w:color w:val="auto"/>
          <w:highlight w:val="none"/>
          <w:lang w:eastAsia="zh-CN"/>
        </w:rPr>
        <w:t>(</w:t>
      </w:r>
      <w:r>
        <w:rPr>
          <w:rFonts w:hint="eastAsia"/>
          <w:color w:val="auto"/>
          <w:highlight w:val="none"/>
        </w:rPr>
        <w:t>注明各部件的品名、数量、价格、规格型号和原产地或生产厂家</w:t>
      </w:r>
      <w:r>
        <w:rPr>
          <w:rFonts w:hint="eastAsia"/>
          <w:color w:val="auto"/>
          <w:highlight w:val="none"/>
          <w:lang w:eastAsia="zh-CN"/>
        </w:rPr>
        <w:t>)；</w:t>
      </w:r>
    </w:p>
    <w:p>
      <w:pPr>
        <w:pStyle w:val="31"/>
        <w:bidi w:val="0"/>
        <w:rPr>
          <w:rFonts w:hint="eastAsia"/>
          <w:color w:val="auto"/>
          <w:highlight w:val="none"/>
        </w:rPr>
      </w:pPr>
      <w:r>
        <w:rPr>
          <w:rFonts w:hint="eastAsia"/>
          <w:color w:val="auto"/>
          <w:highlight w:val="none"/>
        </w:rPr>
        <w:t>投标人认为需要提供的文件和资料。</w:t>
      </w:r>
    </w:p>
    <w:p>
      <w:pPr>
        <w:pStyle w:val="30"/>
        <w:bidi w:val="0"/>
        <w:rPr>
          <w:rFonts w:hint="eastAsia"/>
          <w:color w:val="auto"/>
          <w:highlight w:val="none"/>
        </w:rPr>
      </w:pPr>
      <w:r>
        <w:rPr>
          <w:rFonts w:hint="eastAsia"/>
          <w:b/>
          <w:bCs/>
          <w:color w:val="auto"/>
          <w:highlight w:val="none"/>
        </w:rPr>
        <w:t>商务部分</w:t>
      </w:r>
    </w:p>
    <w:p>
      <w:pPr>
        <w:pStyle w:val="30"/>
        <w:numPr>
          <w:ilvl w:val="4"/>
          <w:numId w:val="0"/>
        </w:numPr>
        <w:bidi w:val="0"/>
        <w:ind w:leftChars="200"/>
        <w:rPr>
          <w:rFonts w:hint="eastAsia"/>
          <w:color w:val="auto"/>
          <w:highlight w:val="none"/>
        </w:rPr>
      </w:pPr>
      <w:r>
        <w:rPr>
          <w:rFonts w:hint="eastAsia"/>
          <w:color w:val="auto"/>
          <w:highlight w:val="none"/>
        </w:rPr>
        <w:t>投标人按照招标文件要求提供的有关证明材料；至少应包括但不限于以下内容：</w:t>
      </w:r>
    </w:p>
    <w:p>
      <w:pPr>
        <w:pStyle w:val="31"/>
        <w:bidi w:val="0"/>
        <w:rPr>
          <w:rFonts w:hint="eastAsia"/>
          <w:color w:val="auto"/>
          <w:highlight w:val="none"/>
        </w:rPr>
      </w:pPr>
      <w:bookmarkStart w:id="379" w:name="_Toc310410799"/>
      <w:bookmarkStart w:id="380" w:name="_Toc177972289"/>
      <w:bookmarkStart w:id="381" w:name="_Toc310412059"/>
      <w:bookmarkStart w:id="382" w:name="_Toc177972975"/>
      <w:bookmarkStart w:id="383" w:name="_Toc310411990"/>
      <w:bookmarkStart w:id="384" w:name="_Toc338418069"/>
      <w:bookmarkStart w:id="385" w:name="_Toc148505258"/>
      <w:r>
        <w:rPr>
          <w:rFonts w:hint="eastAsia"/>
          <w:color w:val="auto"/>
          <w:highlight w:val="none"/>
        </w:rPr>
        <w:t>投标函；</w:t>
      </w:r>
    </w:p>
    <w:p>
      <w:pPr>
        <w:pStyle w:val="31"/>
        <w:bidi w:val="0"/>
        <w:rPr>
          <w:rFonts w:hint="eastAsia"/>
          <w:color w:val="auto"/>
          <w:highlight w:val="none"/>
          <w:lang w:val="en-US" w:eastAsia="zh-CN"/>
        </w:rPr>
      </w:pPr>
      <w:r>
        <w:rPr>
          <w:rFonts w:hint="eastAsia"/>
          <w:color w:val="auto"/>
          <w:highlight w:val="none"/>
          <w:lang w:val="en-US" w:eastAsia="zh-CN"/>
        </w:rPr>
        <w:t>投标人基本情况表；</w:t>
      </w:r>
    </w:p>
    <w:p>
      <w:pPr>
        <w:pStyle w:val="31"/>
        <w:bidi w:val="0"/>
        <w:rPr>
          <w:rFonts w:hint="eastAsia"/>
          <w:color w:val="auto"/>
          <w:highlight w:val="none"/>
          <w:lang w:val="en-US" w:eastAsia="zh-CN"/>
        </w:rPr>
      </w:pPr>
      <w:r>
        <w:rPr>
          <w:rFonts w:hint="eastAsia"/>
          <w:color w:val="auto"/>
          <w:highlight w:val="none"/>
          <w:lang w:val="en-US" w:eastAsia="zh-CN"/>
        </w:rPr>
        <w:t>商务应答表；</w:t>
      </w:r>
    </w:p>
    <w:p>
      <w:pPr>
        <w:pStyle w:val="31"/>
        <w:bidi w:val="0"/>
        <w:rPr>
          <w:rFonts w:hint="eastAsia"/>
          <w:color w:val="auto"/>
          <w:highlight w:val="none"/>
          <w:lang w:val="en-US" w:eastAsia="zh-CN"/>
        </w:rPr>
      </w:pPr>
      <w:r>
        <w:rPr>
          <w:rFonts w:hint="eastAsia"/>
          <w:color w:val="auto"/>
          <w:highlight w:val="none"/>
          <w:lang w:val="en-US" w:eastAsia="zh-CN"/>
        </w:rPr>
        <w:t>招标代理服务费承诺函；</w:t>
      </w:r>
    </w:p>
    <w:p>
      <w:pPr>
        <w:pStyle w:val="31"/>
        <w:bidi w:val="0"/>
        <w:rPr>
          <w:rFonts w:hint="eastAsia"/>
          <w:color w:val="auto"/>
          <w:highlight w:val="none"/>
          <w:lang w:val="en-US" w:eastAsia="zh-CN"/>
        </w:rPr>
      </w:pPr>
      <w:r>
        <w:rPr>
          <w:rFonts w:hint="eastAsia"/>
          <w:color w:val="auto"/>
          <w:highlight w:val="none"/>
          <w:lang w:val="en-US" w:eastAsia="zh-CN"/>
        </w:rPr>
        <w:t>投标人认为应当提供的其他证明材料；</w:t>
      </w:r>
    </w:p>
    <w:p>
      <w:pPr>
        <w:pStyle w:val="31"/>
        <w:bidi w:val="0"/>
        <w:rPr>
          <w:rFonts w:hint="eastAsia"/>
          <w:color w:val="auto"/>
          <w:highlight w:val="none"/>
        </w:rPr>
      </w:pPr>
      <w:r>
        <w:rPr>
          <w:rFonts w:hint="eastAsia"/>
          <w:color w:val="auto"/>
          <w:highlight w:val="none"/>
          <w:lang w:val="en-US" w:eastAsia="zh-CN"/>
        </w:rPr>
        <w:t>招标文件规定的其他商务要求</w:t>
      </w:r>
      <w:r>
        <w:rPr>
          <w:rFonts w:hint="eastAsia"/>
          <w:color w:val="auto"/>
          <w:highlight w:val="none"/>
        </w:rPr>
        <w:t>。</w:t>
      </w:r>
    </w:p>
    <w:bookmarkEnd w:id="379"/>
    <w:bookmarkEnd w:id="380"/>
    <w:bookmarkEnd w:id="381"/>
    <w:bookmarkEnd w:id="382"/>
    <w:bookmarkEnd w:id="383"/>
    <w:bookmarkEnd w:id="384"/>
    <w:bookmarkEnd w:id="385"/>
    <w:p>
      <w:pPr>
        <w:pStyle w:val="30"/>
        <w:bidi w:val="0"/>
        <w:rPr>
          <w:rFonts w:hint="eastAsia"/>
          <w:b/>
          <w:bCs/>
          <w:color w:val="auto"/>
          <w:highlight w:val="none"/>
        </w:rPr>
      </w:pPr>
      <w:r>
        <w:rPr>
          <w:rFonts w:hint="eastAsia"/>
          <w:b/>
          <w:bCs/>
          <w:color w:val="auto"/>
          <w:highlight w:val="none"/>
        </w:rPr>
        <w:t>售后服务</w:t>
      </w:r>
    </w:p>
    <w:p>
      <w:pPr>
        <w:pStyle w:val="29"/>
        <w:bidi w:val="0"/>
        <w:rPr>
          <w:rFonts w:hint="eastAsia"/>
          <w:color w:val="auto"/>
          <w:highlight w:val="none"/>
        </w:rPr>
      </w:pPr>
      <w:r>
        <w:rPr>
          <w:rFonts w:hint="eastAsia"/>
          <w:color w:val="auto"/>
          <w:highlight w:val="none"/>
        </w:rPr>
        <w:t>投标人按照招标文件中售后服务要求作出的积极响应和承诺。</w:t>
      </w:r>
    </w:p>
    <w:p>
      <w:pPr>
        <w:pStyle w:val="30"/>
        <w:bidi w:val="0"/>
        <w:rPr>
          <w:rFonts w:hint="eastAsia"/>
          <w:b/>
          <w:bCs/>
          <w:color w:val="auto"/>
          <w:highlight w:val="none"/>
        </w:rPr>
      </w:pPr>
      <w:r>
        <w:rPr>
          <w:rFonts w:hint="eastAsia"/>
          <w:b/>
          <w:bCs/>
          <w:color w:val="auto"/>
          <w:highlight w:val="none"/>
        </w:rPr>
        <w:t>其他部分</w:t>
      </w:r>
    </w:p>
    <w:p>
      <w:pPr>
        <w:pStyle w:val="29"/>
        <w:bidi w:val="0"/>
        <w:rPr>
          <w:rFonts w:hint="eastAsia"/>
          <w:color w:val="auto"/>
          <w:highlight w:val="none"/>
        </w:rPr>
      </w:pPr>
      <w:r>
        <w:rPr>
          <w:rFonts w:hint="eastAsia"/>
          <w:color w:val="auto"/>
          <w:highlight w:val="none"/>
        </w:rPr>
        <w:t>投标人按照招标文件要求作出的其他应答和承诺。</w:t>
      </w:r>
    </w:p>
    <w:p>
      <w:pPr>
        <w:pStyle w:val="50"/>
        <w:bidi w:val="0"/>
        <w:rPr>
          <w:rFonts w:hint="eastAsia"/>
          <w:color w:val="auto"/>
          <w:highlight w:val="none"/>
        </w:rPr>
      </w:pPr>
      <w:r>
        <w:rPr>
          <w:rFonts w:hint="eastAsia"/>
          <w:color w:val="auto"/>
          <w:highlight w:val="none"/>
        </w:rPr>
        <w:t>注：以上</w:t>
      </w:r>
      <w:r>
        <w:rPr>
          <w:rFonts w:hint="eastAsia"/>
          <w:color w:val="auto"/>
          <w:highlight w:val="none"/>
          <w:lang w:eastAsia="zh-CN"/>
        </w:rPr>
        <w:t>1、</w:t>
      </w:r>
      <w:r>
        <w:rPr>
          <w:rFonts w:hint="eastAsia"/>
          <w:color w:val="auto"/>
          <w:highlight w:val="none"/>
        </w:rPr>
        <w:t>2要求提供的证明材料均需加盖投标人公章，若未加盖投标人公章的，则该证明材料涉及的评分项不予评分，涉及资格条件</w:t>
      </w:r>
      <w:r>
        <w:rPr>
          <w:rFonts w:hint="eastAsia"/>
          <w:color w:val="auto"/>
          <w:highlight w:val="none"/>
          <w:lang w:val="en-US" w:eastAsia="zh-CN"/>
        </w:rPr>
        <w:t>或实质性要求</w:t>
      </w:r>
      <w:r>
        <w:rPr>
          <w:rFonts w:hint="eastAsia"/>
          <w:color w:val="auto"/>
          <w:highlight w:val="none"/>
        </w:rPr>
        <w:t>的评审项按未通过处理。</w:t>
      </w:r>
    </w:p>
    <w:p>
      <w:pPr>
        <w:pStyle w:val="29"/>
        <w:bidi w:val="0"/>
        <w:rPr>
          <w:rFonts w:hint="eastAsia"/>
          <w:b/>
          <w:bCs/>
          <w:color w:val="auto"/>
          <w:highlight w:val="none"/>
        </w:rPr>
      </w:pPr>
      <w:r>
        <w:rPr>
          <w:rFonts w:hint="eastAsia"/>
          <w:b/>
          <w:bCs/>
          <w:color w:val="auto"/>
          <w:highlight w:val="none"/>
        </w:rPr>
        <w:t>若综合评分明细表和技术参数中需要提供的证明材料上述未提及，投标人根据综合评分明细表和技术参数</w:t>
      </w:r>
      <w:r>
        <w:rPr>
          <w:rFonts w:hint="eastAsia"/>
          <w:b/>
          <w:bCs/>
          <w:color w:val="auto"/>
          <w:highlight w:val="none"/>
          <w:lang w:val="en-US" w:eastAsia="zh-CN"/>
        </w:rPr>
        <w:t>要求</w:t>
      </w:r>
      <w:r>
        <w:rPr>
          <w:rFonts w:hint="eastAsia"/>
          <w:b/>
          <w:bCs/>
          <w:color w:val="auto"/>
          <w:highlight w:val="none"/>
        </w:rPr>
        <w:t>提供相关的证明材料。</w:t>
      </w:r>
    </w:p>
    <w:p>
      <w:pPr>
        <w:pStyle w:val="27"/>
        <w:bidi w:val="0"/>
        <w:rPr>
          <w:rFonts w:hint="eastAsia"/>
          <w:color w:val="auto"/>
          <w:highlight w:val="none"/>
        </w:rPr>
      </w:pPr>
      <w:bookmarkStart w:id="386" w:name="_Toc32103"/>
      <w:bookmarkStart w:id="387" w:name="_Toc6789"/>
      <w:bookmarkStart w:id="388" w:name="_Toc309897508"/>
      <w:bookmarkStart w:id="389" w:name="_Toc15763"/>
      <w:bookmarkStart w:id="390" w:name="_Toc319440135"/>
      <w:bookmarkStart w:id="391" w:name="_Toc307564845"/>
      <w:bookmarkStart w:id="392" w:name="_Toc23655"/>
      <w:bookmarkStart w:id="393" w:name="_Toc16202"/>
      <w:bookmarkStart w:id="394" w:name="_Toc3096"/>
      <w:bookmarkStart w:id="395" w:name="_Toc31136"/>
      <w:bookmarkStart w:id="396" w:name="_Toc308188145"/>
      <w:bookmarkStart w:id="397" w:name="_Toc308084590"/>
      <w:bookmarkStart w:id="398" w:name="_Toc4288"/>
      <w:bookmarkStart w:id="399" w:name="_Toc1874"/>
      <w:bookmarkStart w:id="400" w:name="_Toc31194"/>
      <w:bookmarkStart w:id="401" w:name="_Toc327196279"/>
      <w:bookmarkStart w:id="402" w:name="_Toc319439893"/>
      <w:bookmarkStart w:id="403" w:name="_Toc26967"/>
      <w:bookmarkStart w:id="404" w:name="_Toc32288"/>
      <w:r>
        <w:rPr>
          <w:rFonts w:hint="eastAsia"/>
          <w:color w:val="auto"/>
          <w:highlight w:val="none"/>
        </w:rPr>
        <w:t>投标文件格式</w:t>
      </w:r>
      <w:bookmarkEnd w:id="375"/>
      <w:bookmarkEnd w:id="376"/>
      <w:bookmarkEnd w:id="377"/>
      <w:bookmarkEnd w:id="37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color w:val="auto"/>
          <w:highlight w:val="none"/>
        </w:rPr>
        <w:tab/>
      </w:r>
    </w:p>
    <w:p>
      <w:pPr>
        <w:pStyle w:val="28"/>
        <w:bidi w:val="0"/>
        <w:rPr>
          <w:rFonts w:hint="eastAsia"/>
          <w:color w:val="auto"/>
          <w:highlight w:val="none"/>
        </w:rPr>
      </w:pPr>
      <w:r>
        <w:rPr>
          <w:rFonts w:hint="eastAsia"/>
          <w:color w:val="auto"/>
          <w:highlight w:val="none"/>
        </w:rPr>
        <w:t>投标人应按照招标文件第三章中提供的“投标文件格式”填写相关内容。</w:t>
      </w:r>
    </w:p>
    <w:p>
      <w:pPr>
        <w:pStyle w:val="28"/>
        <w:bidi w:val="0"/>
        <w:rPr>
          <w:rFonts w:hint="eastAsia"/>
          <w:color w:val="auto"/>
          <w:highlight w:val="none"/>
        </w:rPr>
      </w:pPr>
      <w:r>
        <w:rPr>
          <w:rFonts w:hint="eastAsia"/>
          <w:color w:val="auto"/>
          <w:highlight w:val="none"/>
        </w:rPr>
        <w:t>对于没有格式要求的由投标人自行编写。</w:t>
      </w:r>
    </w:p>
    <w:p>
      <w:pPr>
        <w:pStyle w:val="27"/>
        <w:bidi w:val="0"/>
        <w:rPr>
          <w:rFonts w:hint="eastAsia"/>
          <w:color w:val="auto"/>
          <w:highlight w:val="none"/>
        </w:rPr>
      </w:pPr>
      <w:bookmarkStart w:id="405" w:name="_Toc21884"/>
      <w:bookmarkStart w:id="406" w:name="_Toc309897509"/>
      <w:bookmarkStart w:id="407" w:name="_Toc319439894"/>
      <w:bookmarkStart w:id="408" w:name="_Toc308084591"/>
      <w:bookmarkStart w:id="409" w:name="_Toc31944"/>
      <w:bookmarkStart w:id="410" w:name="_Toc327196280"/>
      <w:bookmarkStart w:id="411" w:name="_Toc4102"/>
      <w:bookmarkStart w:id="412" w:name="_Toc27418"/>
      <w:bookmarkStart w:id="413" w:name="_Toc14382"/>
      <w:bookmarkStart w:id="414" w:name="_Toc307501103"/>
      <w:bookmarkStart w:id="415" w:name="_Toc307564846"/>
      <w:bookmarkStart w:id="416" w:name="_Toc217446050"/>
      <w:bookmarkStart w:id="417" w:name="_Toc21967"/>
      <w:bookmarkStart w:id="418" w:name="_Toc20642"/>
      <w:bookmarkStart w:id="419" w:name="_Toc183582223"/>
      <w:bookmarkStart w:id="420" w:name="_Toc18740"/>
      <w:bookmarkStart w:id="421" w:name="_Toc319440136"/>
      <w:bookmarkStart w:id="422" w:name="_Toc183682360"/>
      <w:bookmarkStart w:id="423" w:name="_Toc29891"/>
      <w:bookmarkStart w:id="424" w:name="_Toc2456"/>
      <w:bookmarkStart w:id="425" w:name="_Toc308188146"/>
      <w:bookmarkStart w:id="426" w:name="_Toc16016"/>
      <w:bookmarkStart w:id="427" w:name="_Toc14436"/>
      <w:r>
        <w:rPr>
          <w:rFonts w:hint="eastAsia"/>
          <w:color w:val="auto"/>
          <w:highlight w:val="none"/>
        </w:rPr>
        <w:t>投标保证金</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pStyle w:val="28"/>
        <w:numPr>
          <w:ilvl w:val="3"/>
          <w:numId w:val="0"/>
        </w:numPr>
        <w:bidi w:val="0"/>
        <w:ind w:leftChars="200"/>
        <w:rPr>
          <w:rFonts w:hint="eastAsia"/>
          <w:color w:val="auto"/>
          <w:highlight w:val="none"/>
        </w:rPr>
      </w:pPr>
      <w:bookmarkStart w:id="428" w:name="_Toc319439895"/>
      <w:bookmarkStart w:id="429" w:name="_Toc217446051"/>
      <w:bookmarkStart w:id="430" w:name="_Toc27589"/>
      <w:bookmarkStart w:id="431" w:name="_Toc31284"/>
      <w:bookmarkStart w:id="432" w:name="_Toc319440137"/>
      <w:bookmarkStart w:id="433" w:name="_Toc308084592"/>
      <w:bookmarkStart w:id="434" w:name="_Toc183682361"/>
      <w:bookmarkStart w:id="435" w:name="_Toc307501104"/>
      <w:bookmarkStart w:id="436" w:name="_Toc26011"/>
      <w:bookmarkStart w:id="437" w:name="_Toc183582224"/>
      <w:bookmarkStart w:id="438" w:name="_Toc13956"/>
      <w:bookmarkStart w:id="439" w:name="_Toc21338"/>
      <w:bookmarkStart w:id="440" w:name="_Toc9356"/>
      <w:bookmarkStart w:id="441" w:name="_Toc307564847"/>
      <w:bookmarkStart w:id="442" w:name="_Toc308188147"/>
      <w:bookmarkStart w:id="443" w:name="_Toc17857"/>
      <w:bookmarkStart w:id="444" w:name="_Toc29434"/>
      <w:bookmarkStart w:id="445" w:name="_Toc309897510"/>
      <w:bookmarkStart w:id="446" w:name="_Toc327196281"/>
      <w:r>
        <w:rPr>
          <w:rFonts w:hint="eastAsia"/>
          <w:color w:val="auto"/>
          <w:highlight w:val="none"/>
          <w:lang w:val="en-US" w:eastAsia="zh-CN"/>
        </w:rPr>
        <w:t>本项目不收取投标保证金</w:t>
      </w:r>
      <w:r>
        <w:rPr>
          <w:rFonts w:hint="eastAsia"/>
          <w:color w:val="auto"/>
          <w:highlight w:val="none"/>
        </w:rPr>
        <w:t>。</w:t>
      </w:r>
    </w:p>
    <w:p>
      <w:pPr>
        <w:pStyle w:val="27"/>
        <w:bidi w:val="0"/>
        <w:rPr>
          <w:rFonts w:hint="eastAsia"/>
          <w:color w:val="auto"/>
          <w:highlight w:val="none"/>
        </w:rPr>
      </w:pPr>
      <w:bookmarkStart w:id="447" w:name="_Toc20243"/>
      <w:bookmarkStart w:id="448" w:name="_Toc30115"/>
      <w:bookmarkStart w:id="449" w:name="_Toc19115"/>
      <w:bookmarkStart w:id="450" w:name="_Toc16789"/>
      <w:r>
        <w:rPr>
          <w:rFonts w:hint="eastAsia"/>
          <w:color w:val="auto"/>
          <w:highlight w:val="none"/>
        </w:rPr>
        <w:t>投标有效期</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color w:val="auto"/>
          <w:highlight w:val="none"/>
          <w:lang w:eastAsia="zh-CN"/>
        </w:rPr>
        <w:t>(</w:t>
      </w:r>
      <w:r>
        <w:rPr>
          <w:rFonts w:hint="eastAsia"/>
          <w:color w:val="auto"/>
          <w:highlight w:val="none"/>
        </w:rPr>
        <w:t>实质性要求</w:t>
      </w:r>
      <w:bookmarkEnd w:id="447"/>
      <w:r>
        <w:rPr>
          <w:rFonts w:hint="eastAsia"/>
          <w:color w:val="auto"/>
          <w:highlight w:val="none"/>
          <w:lang w:eastAsia="zh-CN"/>
        </w:rPr>
        <w:t>)</w:t>
      </w:r>
      <w:bookmarkEnd w:id="448"/>
      <w:bookmarkEnd w:id="449"/>
      <w:bookmarkEnd w:id="450"/>
    </w:p>
    <w:p>
      <w:pPr>
        <w:pStyle w:val="28"/>
        <w:bidi w:val="0"/>
        <w:rPr>
          <w:rFonts w:hint="eastAsia"/>
          <w:color w:val="auto"/>
          <w:highlight w:val="none"/>
        </w:rPr>
      </w:pPr>
      <w:r>
        <w:rPr>
          <w:rFonts w:hint="eastAsia"/>
          <w:color w:val="auto"/>
          <w:highlight w:val="none"/>
        </w:rPr>
        <w:t>投标有效期为提交投标文件的截止之日起</w:t>
      </w:r>
      <w:r>
        <w:rPr>
          <w:rFonts w:hint="eastAsia"/>
          <w:color w:val="auto"/>
          <w:highlight w:val="none"/>
          <w:lang w:eastAsia="zh-CN"/>
        </w:rPr>
        <w:t>90日</w:t>
      </w:r>
      <w:r>
        <w:rPr>
          <w:rFonts w:hint="eastAsia"/>
          <w:color w:val="auto"/>
          <w:highlight w:val="none"/>
        </w:rPr>
        <w:t>。投标人投标文件中必须载明投标有效期，投标文件中载明的投标有效期可以长于招标文件规定的期限，但不得短于招标文件规定的期限。否则，其投标文件将作为无效投标处理。</w:t>
      </w:r>
    </w:p>
    <w:p>
      <w:pPr>
        <w:pStyle w:val="28"/>
        <w:bidi w:val="0"/>
        <w:rPr>
          <w:rFonts w:hint="eastAsia"/>
          <w:color w:val="auto"/>
          <w:highlight w:val="none"/>
        </w:rPr>
      </w:pPr>
      <w:r>
        <w:rPr>
          <w:rFonts w:hint="eastAsia"/>
          <w:color w:val="auto"/>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28"/>
        <w:bidi w:val="0"/>
        <w:rPr>
          <w:rFonts w:hint="eastAsia"/>
          <w:color w:val="auto"/>
          <w:highlight w:val="none"/>
        </w:rPr>
      </w:pPr>
      <w:r>
        <w:rPr>
          <w:rFonts w:hint="eastAsia"/>
          <w:color w:val="auto"/>
          <w:highlight w:val="none"/>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27"/>
        <w:bidi w:val="0"/>
        <w:rPr>
          <w:rFonts w:hint="eastAsia"/>
          <w:color w:val="auto"/>
          <w:highlight w:val="none"/>
        </w:rPr>
      </w:pPr>
      <w:bookmarkStart w:id="451" w:name="_Toc319440138"/>
      <w:bookmarkStart w:id="452" w:name="_Toc3717"/>
      <w:bookmarkStart w:id="453" w:name="_Toc308188148"/>
      <w:bookmarkStart w:id="454" w:name="_Toc25471"/>
      <w:bookmarkStart w:id="455" w:name="_Toc183582225"/>
      <w:bookmarkStart w:id="456" w:name="_Toc12545"/>
      <w:bookmarkStart w:id="457" w:name="_Toc319439896"/>
      <w:bookmarkStart w:id="458" w:name="_Toc26817"/>
      <w:bookmarkStart w:id="459" w:name="_Toc183682362"/>
      <w:bookmarkStart w:id="460" w:name="_Toc27461"/>
      <w:bookmarkStart w:id="461" w:name="_Toc24656"/>
      <w:bookmarkStart w:id="462" w:name="_Toc308084593"/>
      <w:bookmarkStart w:id="463" w:name="_Toc309897511"/>
      <w:bookmarkStart w:id="464" w:name="_Toc307564848"/>
      <w:bookmarkStart w:id="465" w:name="_Toc6239"/>
      <w:bookmarkStart w:id="466" w:name="_Toc12997"/>
      <w:bookmarkStart w:id="467" w:name="_Toc3077"/>
      <w:bookmarkStart w:id="468" w:name="_Toc307501105"/>
      <w:bookmarkStart w:id="469" w:name="_Toc27612"/>
      <w:bookmarkStart w:id="470" w:name="_Toc217446052"/>
      <w:bookmarkStart w:id="471" w:name="_Toc7213"/>
      <w:bookmarkStart w:id="472" w:name="_Toc327196282"/>
      <w:bookmarkStart w:id="473" w:name="_Toc22593"/>
      <w:r>
        <w:rPr>
          <w:rFonts w:hint="eastAsia"/>
          <w:color w:val="auto"/>
          <w:highlight w:val="none"/>
        </w:rPr>
        <w:t>投标文件的印制和签署</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28"/>
        <w:bidi w:val="0"/>
        <w:rPr>
          <w:color w:val="auto"/>
          <w:highlight w:val="none"/>
        </w:rPr>
      </w:pPr>
      <w:bookmarkStart w:id="474" w:name="_Toc77400781"/>
      <w:bookmarkStart w:id="475" w:name="_Toc183582226"/>
      <w:bookmarkStart w:id="476" w:name="_Toc89075877"/>
      <w:bookmarkStart w:id="477" w:name="_Toc183682363"/>
      <w:bookmarkStart w:id="478" w:name="_Toc327196283"/>
      <w:bookmarkStart w:id="479" w:name="_Toc19635"/>
      <w:bookmarkStart w:id="480" w:name="_Toc309897512"/>
      <w:bookmarkStart w:id="481" w:name="_Toc23675"/>
      <w:bookmarkStart w:id="482" w:name="_Toc27443"/>
      <w:bookmarkStart w:id="483" w:name="_Toc308084594"/>
      <w:bookmarkStart w:id="484" w:name="_Toc319440139"/>
      <w:bookmarkStart w:id="485" w:name="_Toc307564849"/>
      <w:bookmarkStart w:id="486" w:name="_Toc23619"/>
      <w:bookmarkStart w:id="487" w:name="_Toc17010"/>
      <w:bookmarkStart w:id="488" w:name="_Toc5019"/>
      <w:bookmarkStart w:id="489" w:name="_Toc13153"/>
      <w:bookmarkStart w:id="490" w:name="_Toc10555"/>
      <w:bookmarkStart w:id="491" w:name="_Toc319439897"/>
      <w:bookmarkStart w:id="492" w:name="_Toc307501106"/>
      <w:bookmarkStart w:id="493" w:name="_Toc217446053"/>
      <w:bookmarkStart w:id="494" w:name="_Toc19839"/>
      <w:bookmarkStart w:id="495" w:name="_Toc6805"/>
      <w:bookmarkStart w:id="496" w:name="_Toc16752"/>
      <w:bookmarkStart w:id="497" w:name="_Toc308188149"/>
      <w:r>
        <w:rPr>
          <w:rFonts w:hint="eastAsia"/>
          <w:color w:val="auto"/>
          <w:highlight w:val="none"/>
        </w:rPr>
        <w:t>投标文件分</w:t>
      </w:r>
      <w:r>
        <w:rPr>
          <w:rFonts w:hint="eastAsia"/>
          <w:color w:val="auto"/>
          <w:highlight w:val="none"/>
          <w:lang w:eastAsia="zh-CN"/>
        </w:rPr>
        <w:t>《</w:t>
      </w:r>
      <w:r>
        <w:rPr>
          <w:rFonts w:hint="eastAsia"/>
          <w:color w:val="auto"/>
          <w:highlight w:val="none"/>
        </w:rPr>
        <w:t>资格、资质性及其他类似效力投标文件</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其他投标文件</w:t>
      </w:r>
      <w:r>
        <w:rPr>
          <w:rFonts w:hint="eastAsia"/>
          <w:color w:val="auto"/>
          <w:highlight w:val="none"/>
          <w:lang w:eastAsia="zh-CN"/>
        </w:rPr>
        <w:t>》</w:t>
      </w:r>
      <w:r>
        <w:rPr>
          <w:rFonts w:hint="eastAsia"/>
          <w:color w:val="auto"/>
          <w:highlight w:val="none"/>
        </w:rPr>
        <w:t>两部分，分册装订</w:t>
      </w:r>
      <w:r>
        <w:rPr>
          <w:rFonts w:hint="eastAsia"/>
          <w:color w:val="auto"/>
          <w:highlight w:val="none"/>
          <w:lang w:eastAsia="zh-CN"/>
        </w:rPr>
        <w:t>，</w:t>
      </w:r>
      <w:r>
        <w:rPr>
          <w:rFonts w:hint="eastAsia"/>
          <w:color w:val="auto"/>
          <w:highlight w:val="none"/>
          <w:lang w:val="en-US" w:eastAsia="zh-CN"/>
        </w:rPr>
        <w:t>内容不得相互混装</w:t>
      </w:r>
      <w:r>
        <w:rPr>
          <w:rFonts w:hint="eastAsia"/>
          <w:color w:val="auto"/>
          <w:highlight w:val="none"/>
        </w:rPr>
        <w:t>。</w:t>
      </w:r>
    </w:p>
    <w:p>
      <w:pPr>
        <w:pStyle w:val="28"/>
        <w:bidi w:val="0"/>
        <w:rPr>
          <w:color w:val="auto"/>
          <w:highlight w:val="none"/>
        </w:rPr>
      </w:pPr>
      <w:r>
        <w:rPr>
          <w:rFonts w:hint="eastAsia"/>
          <w:color w:val="auto"/>
          <w:highlight w:val="none"/>
        </w:rPr>
        <w:t>投标文件按招标文件要求的格式进行密封。资格、资质性及其他类似效力投标文件用于采购人或采购代理机构对投标人进行资格审查，其他投标文件用于评标委员会评审。</w:t>
      </w:r>
    </w:p>
    <w:p>
      <w:pPr>
        <w:pStyle w:val="28"/>
        <w:bidi w:val="0"/>
        <w:rPr>
          <w:rFonts w:hint="eastAsia"/>
          <w:color w:val="auto"/>
          <w:highlight w:val="none"/>
        </w:rPr>
      </w:pPr>
      <w:r>
        <w:rPr>
          <w:rFonts w:hint="eastAsia"/>
          <w:color w:val="auto"/>
          <w:highlight w:val="none"/>
        </w:rPr>
        <w:t>投标人递交的投标文件为一式叁份，其中正本壹份</w:t>
      </w:r>
      <w:r>
        <w:rPr>
          <w:rFonts w:hint="eastAsia"/>
          <w:color w:val="auto"/>
          <w:highlight w:val="none"/>
          <w:lang w:eastAsia="zh-CN"/>
        </w:rPr>
        <w:t>、</w:t>
      </w:r>
      <w:r>
        <w:rPr>
          <w:rFonts w:hint="eastAsia"/>
          <w:color w:val="auto"/>
          <w:highlight w:val="none"/>
        </w:rPr>
        <w:t>副本贰份</w:t>
      </w:r>
      <w:r>
        <w:rPr>
          <w:rFonts w:hint="eastAsia"/>
          <w:color w:val="auto"/>
          <w:highlight w:val="none"/>
          <w:lang w:eastAsia="zh-CN"/>
        </w:rPr>
        <w:t>，</w:t>
      </w:r>
      <w:r>
        <w:rPr>
          <w:rFonts w:hint="eastAsia"/>
          <w:color w:val="auto"/>
          <w:highlight w:val="none"/>
        </w:rPr>
        <w:t>单独提交用于开标唱标的“开标一览表”</w:t>
      </w:r>
      <w:r>
        <w:rPr>
          <w:rFonts w:hint="eastAsia"/>
          <w:color w:val="auto"/>
          <w:highlight w:val="none"/>
          <w:lang w:val="en-US" w:eastAsia="zh-CN"/>
        </w:rPr>
        <w:t>壹</w:t>
      </w:r>
      <w:r>
        <w:rPr>
          <w:rFonts w:hint="eastAsia"/>
          <w:color w:val="auto"/>
          <w:highlight w:val="none"/>
        </w:rPr>
        <w:t>份原件</w:t>
      </w:r>
      <w:r>
        <w:rPr>
          <w:rFonts w:hint="eastAsia"/>
          <w:color w:val="auto"/>
          <w:highlight w:val="none"/>
          <w:lang w:eastAsia="zh-CN"/>
        </w:rPr>
        <w:t>(</w:t>
      </w:r>
      <w:r>
        <w:rPr>
          <w:rFonts w:hint="eastAsia"/>
          <w:color w:val="auto"/>
          <w:highlight w:val="none"/>
          <w:lang w:val="en-US" w:eastAsia="zh-CN"/>
        </w:rPr>
        <w:t>加盖公章，复印件无效</w:t>
      </w:r>
      <w:r>
        <w:rPr>
          <w:rFonts w:hint="eastAsia"/>
          <w:color w:val="auto"/>
          <w:highlight w:val="none"/>
          <w:lang w:eastAsia="zh-CN"/>
        </w:rPr>
        <w:t>)</w:t>
      </w:r>
      <w:r>
        <w:rPr>
          <w:rFonts w:hint="eastAsia"/>
          <w:b/>
          <w:bCs/>
          <w:color w:val="auto"/>
          <w:highlight w:val="none"/>
        </w:rPr>
        <w:t>(实质性要求)</w:t>
      </w:r>
      <w:r>
        <w:rPr>
          <w:rFonts w:hint="eastAsia"/>
          <w:color w:val="auto"/>
          <w:highlight w:val="none"/>
        </w:rPr>
        <w:t>。</w:t>
      </w:r>
    </w:p>
    <w:p>
      <w:pPr>
        <w:pStyle w:val="28"/>
        <w:bidi w:val="0"/>
        <w:rPr>
          <w:color w:val="auto"/>
          <w:highlight w:val="none"/>
        </w:rPr>
      </w:pPr>
      <w:r>
        <w:rPr>
          <w:rFonts w:hint="eastAsia"/>
          <w:color w:val="auto"/>
          <w:highlight w:val="none"/>
        </w:rPr>
        <w:t>投标文件正本应用不褪色、不变质的墨水书写或打印，并装订成册，由投标人的法定代表人或其授权代表在规定签章处签字或盖章。投标文件副本可采用正本的复印件，若正本和副本有不一致的内容，以正本书面投标文件为准。</w:t>
      </w:r>
    </w:p>
    <w:p>
      <w:pPr>
        <w:pStyle w:val="28"/>
        <w:bidi w:val="0"/>
        <w:rPr>
          <w:color w:val="auto"/>
          <w:highlight w:val="none"/>
        </w:rPr>
      </w:pPr>
      <w:r>
        <w:rPr>
          <w:rFonts w:hint="eastAsia"/>
          <w:color w:val="auto"/>
          <w:highlight w:val="none"/>
        </w:rPr>
        <w:t>“开标一览表”除单独密封提交外，还应编制于其他投标文件正副本内，如有遗漏，将视为无效投标</w:t>
      </w:r>
      <w:r>
        <w:rPr>
          <w:rFonts w:hint="eastAsia"/>
          <w:b/>
          <w:bCs/>
          <w:color w:val="auto"/>
          <w:highlight w:val="none"/>
        </w:rPr>
        <w:t>(实质性要求)</w:t>
      </w:r>
      <w:r>
        <w:rPr>
          <w:rFonts w:hint="eastAsia"/>
          <w:color w:val="auto"/>
          <w:highlight w:val="none"/>
        </w:rPr>
        <w:t>。</w:t>
      </w:r>
    </w:p>
    <w:p>
      <w:pPr>
        <w:pStyle w:val="28"/>
        <w:bidi w:val="0"/>
        <w:rPr>
          <w:color w:val="auto"/>
          <w:highlight w:val="none"/>
        </w:rPr>
      </w:pPr>
      <w:r>
        <w:rPr>
          <w:rFonts w:hint="eastAsia"/>
          <w:color w:val="auto"/>
          <w:highlight w:val="none"/>
        </w:rPr>
        <w:t>投标文件正本和副本统一用A4幅面纸印制(图、表</w:t>
      </w:r>
      <w:r>
        <w:rPr>
          <w:rFonts w:hint="eastAsia"/>
          <w:color w:val="auto"/>
          <w:highlight w:val="none"/>
          <w:lang w:eastAsia="zh-CN"/>
        </w:rPr>
        <w:t>、</w:t>
      </w:r>
      <w:r>
        <w:rPr>
          <w:rFonts w:hint="eastAsia"/>
          <w:color w:val="auto"/>
          <w:highlight w:val="none"/>
        </w:rPr>
        <w:t>证件</w:t>
      </w:r>
      <w:r>
        <w:rPr>
          <w:rFonts w:hint="eastAsia"/>
          <w:color w:val="auto"/>
          <w:highlight w:val="none"/>
          <w:lang w:eastAsia="zh-CN"/>
        </w:rPr>
        <w:t>、</w:t>
      </w:r>
      <w:r>
        <w:rPr>
          <w:rFonts w:hint="eastAsia"/>
          <w:color w:val="auto"/>
          <w:highlight w:val="none"/>
          <w:lang w:val="en-US" w:eastAsia="zh-CN"/>
        </w:rPr>
        <w:t>宣传资料、技术证明材料</w:t>
      </w:r>
      <w:r>
        <w:rPr>
          <w:rFonts w:hint="eastAsia"/>
          <w:color w:val="auto"/>
          <w:highlight w:val="none"/>
        </w:rPr>
        <w:t>可以除外)，逐页编码，可双面打印。</w:t>
      </w:r>
    </w:p>
    <w:p>
      <w:pPr>
        <w:pStyle w:val="28"/>
        <w:bidi w:val="0"/>
        <w:rPr>
          <w:color w:val="auto"/>
          <w:highlight w:val="none"/>
        </w:rPr>
      </w:pPr>
      <w:r>
        <w:rPr>
          <w:rFonts w:hint="eastAsia"/>
          <w:color w:val="auto"/>
          <w:highlight w:val="none"/>
        </w:rPr>
        <w:t>投标文件的正本和副本应采用左侧胶装，不得散装或者活页装订</w:t>
      </w:r>
      <w:r>
        <w:rPr>
          <w:rFonts w:hint="eastAsia"/>
          <w:color w:val="auto"/>
          <w:highlight w:val="none"/>
          <w:lang w:eastAsia="zh-CN"/>
        </w:rPr>
        <w:t>。</w:t>
      </w:r>
    </w:p>
    <w:p>
      <w:pPr>
        <w:pStyle w:val="28"/>
        <w:bidi w:val="0"/>
        <w:rPr>
          <w:color w:val="auto"/>
          <w:highlight w:val="none"/>
        </w:rPr>
      </w:pPr>
      <w:r>
        <w:rPr>
          <w:rFonts w:hint="eastAsia"/>
          <w:color w:val="auto"/>
          <w:highlight w:val="none"/>
        </w:rPr>
        <w:t>若投标文件内容较多，可分册装订，并在封面标明次序及册数。</w:t>
      </w:r>
    </w:p>
    <w:p>
      <w:pPr>
        <w:pStyle w:val="28"/>
        <w:bidi w:val="0"/>
        <w:rPr>
          <w:color w:val="auto"/>
          <w:highlight w:val="none"/>
        </w:rPr>
      </w:pPr>
      <w:r>
        <w:rPr>
          <w:rFonts w:hint="eastAsia"/>
          <w:color w:val="auto"/>
          <w:highlight w:val="none"/>
        </w:rPr>
        <w:t>投标文件中的证明、证件及附件等复印件应集中紧附在相应正文内容后面，并尽量与前面正文部分的顺序相对应。</w:t>
      </w:r>
    </w:p>
    <w:p>
      <w:pPr>
        <w:pStyle w:val="28"/>
        <w:bidi w:val="0"/>
        <w:rPr>
          <w:color w:val="auto"/>
          <w:highlight w:val="none"/>
        </w:rPr>
      </w:pPr>
      <w:r>
        <w:rPr>
          <w:rFonts w:hint="eastAsia"/>
          <w:color w:val="auto"/>
          <w:highlight w:val="none"/>
        </w:rPr>
        <w:t>投标文件的打印和书写应清楚工整，任何签字、行间插字、涂改或增删，必须由投标人的法定代表人或其授权代表签字或盖个人印鉴(签字可用具有法定效力的个人印章代替)不得使用专用章(如经济合同章、投标专用章等)或下属单位印章代替</w:t>
      </w:r>
      <w:r>
        <w:rPr>
          <w:rFonts w:hint="eastAsia"/>
          <w:b/>
          <w:bCs/>
          <w:color w:val="auto"/>
          <w:highlight w:val="none"/>
        </w:rPr>
        <w:t>(实质性要求)</w:t>
      </w:r>
      <w:r>
        <w:rPr>
          <w:rFonts w:hint="eastAsia"/>
          <w:color w:val="auto"/>
          <w:highlight w:val="none"/>
        </w:rPr>
        <w:t>。</w:t>
      </w:r>
    </w:p>
    <w:p>
      <w:pPr>
        <w:pStyle w:val="28"/>
        <w:bidi w:val="0"/>
        <w:rPr>
          <w:color w:val="auto"/>
          <w:highlight w:val="none"/>
        </w:rPr>
      </w:pPr>
      <w:r>
        <w:rPr>
          <w:rFonts w:hint="eastAsia"/>
          <w:color w:val="auto"/>
          <w:highlight w:val="none"/>
        </w:rPr>
        <w:t>投标文件应根据上述要求制作，签署、盖章，内容应完整。</w:t>
      </w:r>
    </w:p>
    <w:p>
      <w:pPr>
        <w:pStyle w:val="28"/>
        <w:bidi w:val="0"/>
        <w:rPr>
          <w:color w:val="auto"/>
          <w:highlight w:val="none"/>
        </w:rPr>
      </w:pPr>
      <w:r>
        <w:rPr>
          <w:rFonts w:hint="eastAsia"/>
          <w:color w:val="auto"/>
          <w:highlight w:val="none"/>
        </w:rPr>
        <w:t>本招标文件要求的复印件是指对图文进行复制后的文件，包括扫描、复印、影印等方式复制的材料。</w:t>
      </w:r>
    </w:p>
    <w:p>
      <w:pPr>
        <w:pStyle w:val="27"/>
        <w:bidi w:val="0"/>
        <w:rPr>
          <w:rFonts w:hint="eastAsia"/>
          <w:color w:val="auto"/>
          <w:highlight w:val="none"/>
        </w:rPr>
      </w:pPr>
      <w:bookmarkStart w:id="498" w:name="_Toc14896"/>
      <w:r>
        <w:rPr>
          <w:rFonts w:hint="eastAsia"/>
          <w:color w:val="auto"/>
          <w:highlight w:val="none"/>
        </w:rPr>
        <w:t>投标文件的密封和标</w:t>
      </w:r>
      <w:bookmarkEnd w:id="474"/>
      <w:bookmarkEnd w:id="475"/>
      <w:bookmarkEnd w:id="476"/>
      <w:bookmarkEnd w:id="477"/>
      <w:r>
        <w:rPr>
          <w:rFonts w:hint="eastAsia"/>
          <w:color w:val="auto"/>
          <w:highlight w:val="none"/>
        </w:rPr>
        <w:t>注</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28"/>
        <w:bidi w:val="0"/>
        <w:rPr>
          <w:rFonts w:hint="eastAsia"/>
          <w:color w:val="auto"/>
          <w:highlight w:val="none"/>
        </w:rPr>
      </w:pPr>
      <w:bookmarkStart w:id="499" w:name="_Toc183682364"/>
      <w:bookmarkStart w:id="500" w:name="_Toc183582227"/>
      <w:bookmarkStart w:id="501" w:name="_Toc307564850"/>
      <w:bookmarkStart w:id="502" w:name="_Toc5768"/>
      <w:bookmarkStart w:id="503" w:name="_Toc54"/>
      <w:bookmarkStart w:id="504" w:name="_Toc319439898"/>
      <w:bookmarkStart w:id="505" w:name="_Toc319440140"/>
      <w:bookmarkStart w:id="506" w:name="_Toc308084595"/>
      <w:bookmarkStart w:id="507" w:name="_Toc20273"/>
      <w:bookmarkStart w:id="508" w:name="_Toc2092"/>
      <w:bookmarkStart w:id="509" w:name="_Toc308188150"/>
      <w:bookmarkStart w:id="510" w:name="_Toc309897513"/>
      <w:bookmarkStart w:id="511" w:name="_Toc327196284"/>
      <w:bookmarkStart w:id="512" w:name="_Toc7231"/>
      <w:bookmarkStart w:id="513" w:name="_Toc217446054"/>
      <w:bookmarkStart w:id="514" w:name="_Toc25113"/>
      <w:bookmarkStart w:id="515" w:name="_Toc307501107"/>
      <w:r>
        <w:rPr>
          <w:rFonts w:hint="eastAsia"/>
          <w:color w:val="auto"/>
          <w:highlight w:val="none"/>
        </w:rPr>
        <w:t>投标人应在投标文件正本和所有副本的封面上注明投标人名称、项目编号、项目名称</w:t>
      </w:r>
      <w:r>
        <w:rPr>
          <w:rFonts w:hint="eastAsia"/>
          <w:color w:val="auto"/>
          <w:highlight w:val="none"/>
          <w:lang w:eastAsia="zh-CN"/>
        </w:rPr>
        <w:t>、</w:t>
      </w:r>
      <w:r>
        <w:rPr>
          <w:rFonts w:hint="eastAsia"/>
          <w:color w:val="auto"/>
          <w:highlight w:val="none"/>
        </w:rPr>
        <w:t>投标日期。</w:t>
      </w:r>
    </w:p>
    <w:p>
      <w:pPr>
        <w:pStyle w:val="28"/>
        <w:bidi w:val="0"/>
        <w:rPr>
          <w:rFonts w:hint="eastAsia"/>
          <w:color w:val="auto"/>
          <w:highlight w:val="none"/>
        </w:rPr>
      </w:pPr>
      <w:r>
        <w:rPr>
          <w:rFonts w:hint="eastAsia"/>
          <w:color w:val="auto"/>
          <w:highlight w:val="none"/>
          <w:lang w:eastAsia="zh-CN"/>
        </w:rPr>
        <w:t>资格、资质性及其他类似效力投标文件</w:t>
      </w:r>
      <w:r>
        <w:rPr>
          <w:rFonts w:hint="eastAsia"/>
          <w:color w:val="auto"/>
          <w:highlight w:val="none"/>
        </w:rPr>
        <w:t>、</w:t>
      </w:r>
      <w:r>
        <w:rPr>
          <w:rFonts w:hint="eastAsia"/>
          <w:color w:val="auto"/>
          <w:highlight w:val="none"/>
          <w:lang w:eastAsia="zh-CN"/>
        </w:rPr>
        <w:t>其他投标文件、</w:t>
      </w:r>
      <w:r>
        <w:rPr>
          <w:rFonts w:hint="eastAsia"/>
          <w:color w:val="auto"/>
          <w:highlight w:val="none"/>
        </w:rPr>
        <w:t>用于开标唱标单独提交的开标一览表，应分别封装于不同的密封袋内，密封袋的封口处应粘贴牢固</w:t>
      </w:r>
      <w:r>
        <w:rPr>
          <w:rFonts w:hint="eastAsia"/>
          <w:color w:val="auto"/>
          <w:highlight w:val="none"/>
          <w:lang w:eastAsia="zh-CN"/>
        </w:rPr>
        <w:t>，</w:t>
      </w:r>
      <w:r>
        <w:rPr>
          <w:rFonts w:hint="eastAsia"/>
          <w:color w:val="auto"/>
          <w:highlight w:val="none"/>
        </w:rPr>
        <w:t>密封袋上应分别标上“</w:t>
      </w:r>
      <w:r>
        <w:rPr>
          <w:rFonts w:hint="eastAsia"/>
          <w:color w:val="auto"/>
          <w:highlight w:val="none"/>
          <w:lang w:eastAsia="zh-CN"/>
        </w:rPr>
        <w:t>资格、资质性及其他类似效力投标文件</w:t>
      </w:r>
      <w:r>
        <w:rPr>
          <w:rFonts w:hint="eastAsia"/>
          <w:color w:val="auto"/>
          <w:highlight w:val="none"/>
        </w:rPr>
        <w:t>”、“</w:t>
      </w:r>
      <w:r>
        <w:rPr>
          <w:rFonts w:hint="eastAsia"/>
          <w:color w:val="auto"/>
          <w:highlight w:val="none"/>
          <w:lang w:eastAsia="zh-CN"/>
        </w:rPr>
        <w:t>其他投标文件</w:t>
      </w:r>
      <w:r>
        <w:rPr>
          <w:rFonts w:hint="eastAsia"/>
          <w:color w:val="auto"/>
          <w:highlight w:val="none"/>
        </w:rPr>
        <w:t>”、“开标一览表”字样，并注明投标人名称、项目名称</w:t>
      </w:r>
      <w:r>
        <w:rPr>
          <w:rFonts w:hint="eastAsia"/>
          <w:color w:val="auto"/>
          <w:highlight w:val="none"/>
          <w:lang w:eastAsia="zh-CN"/>
        </w:rPr>
        <w:t>、</w:t>
      </w:r>
      <w:r>
        <w:rPr>
          <w:rFonts w:hint="eastAsia"/>
          <w:color w:val="auto"/>
          <w:highlight w:val="none"/>
        </w:rPr>
        <w:t>项目编号</w:t>
      </w:r>
      <w:r>
        <w:rPr>
          <w:rFonts w:hint="eastAsia"/>
          <w:color w:val="auto"/>
          <w:highlight w:val="none"/>
          <w:lang w:eastAsia="zh-CN"/>
        </w:rPr>
        <w:t>、</w:t>
      </w:r>
      <w:r>
        <w:rPr>
          <w:rFonts w:hint="eastAsia"/>
          <w:color w:val="auto"/>
          <w:highlight w:val="none"/>
        </w:rPr>
        <w:t>投标日期</w:t>
      </w:r>
      <w:r>
        <w:rPr>
          <w:rFonts w:hint="eastAsia"/>
          <w:color w:val="auto"/>
          <w:highlight w:val="none"/>
          <w:lang w:eastAsia="zh-CN"/>
        </w:rPr>
        <w:t>，</w:t>
      </w:r>
      <w:r>
        <w:rPr>
          <w:rFonts w:hint="eastAsia"/>
          <w:color w:val="auto"/>
          <w:highlight w:val="none"/>
        </w:rPr>
        <w:t>并</w:t>
      </w:r>
      <w:r>
        <w:rPr>
          <w:rFonts w:hint="eastAsia"/>
          <w:color w:val="auto"/>
          <w:highlight w:val="none"/>
          <w:lang w:eastAsia="zh-CN"/>
        </w:rPr>
        <w:t>在封口处</w:t>
      </w:r>
      <w:r>
        <w:rPr>
          <w:rFonts w:hint="eastAsia"/>
          <w:color w:val="auto"/>
          <w:highlight w:val="none"/>
        </w:rPr>
        <w:t>加盖投标人公章。</w:t>
      </w:r>
    </w:p>
    <w:p>
      <w:pPr>
        <w:pStyle w:val="28"/>
        <w:bidi w:val="0"/>
        <w:rPr>
          <w:rFonts w:hint="eastAsia"/>
          <w:color w:val="auto"/>
          <w:highlight w:val="none"/>
        </w:rPr>
      </w:pPr>
      <w:r>
        <w:rPr>
          <w:rFonts w:hint="eastAsia"/>
          <w:color w:val="auto"/>
          <w:highlight w:val="none"/>
        </w:rPr>
        <w:t>未按照招标文件要求密封的投标文件，</w:t>
      </w:r>
      <w:r>
        <w:rPr>
          <w:rFonts w:hint="eastAsia"/>
          <w:color w:val="auto"/>
          <w:highlight w:val="none"/>
          <w:lang w:val="en-US" w:eastAsia="zh-CN"/>
        </w:rPr>
        <w:t>将被</w:t>
      </w:r>
      <w:r>
        <w:rPr>
          <w:rFonts w:hint="eastAsia"/>
          <w:color w:val="auto"/>
          <w:highlight w:val="none"/>
        </w:rPr>
        <w:t>采购代理机构拒收。</w:t>
      </w:r>
    </w:p>
    <w:p>
      <w:pPr>
        <w:pStyle w:val="27"/>
        <w:bidi w:val="0"/>
        <w:rPr>
          <w:rFonts w:hint="eastAsia"/>
          <w:color w:val="auto"/>
          <w:highlight w:val="none"/>
        </w:rPr>
      </w:pPr>
      <w:bookmarkStart w:id="516" w:name="_Toc19406"/>
      <w:bookmarkStart w:id="517" w:name="_Toc9965"/>
      <w:bookmarkStart w:id="518" w:name="_Toc27234"/>
      <w:bookmarkStart w:id="519" w:name="_Toc30361"/>
      <w:bookmarkStart w:id="520" w:name="_Toc5423"/>
      <w:bookmarkStart w:id="521" w:name="_Toc25947"/>
      <w:r>
        <w:rPr>
          <w:rFonts w:hint="eastAsia"/>
          <w:color w:val="auto"/>
          <w:highlight w:val="none"/>
        </w:rPr>
        <w:t>投标文件的</w:t>
      </w:r>
      <w:bookmarkEnd w:id="499"/>
      <w:bookmarkEnd w:id="500"/>
      <w:r>
        <w:rPr>
          <w:rFonts w:hint="eastAsia"/>
          <w:color w:val="auto"/>
          <w:highlight w:val="none"/>
        </w:rPr>
        <w:t>递交</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28"/>
        <w:bidi w:val="0"/>
        <w:rPr>
          <w:rFonts w:hint="eastAsia"/>
          <w:color w:val="auto"/>
          <w:highlight w:val="none"/>
        </w:rPr>
      </w:pPr>
      <w:r>
        <w:rPr>
          <w:rFonts w:hint="eastAsia"/>
          <w:color w:val="auto"/>
          <w:highlight w:val="none"/>
        </w:rPr>
        <w:t>投标人应在招标文件规定的投标截止时间前，将投标文件按招标文件规定密封后送达开标地点。</w:t>
      </w:r>
    </w:p>
    <w:p>
      <w:pPr>
        <w:pStyle w:val="28"/>
        <w:bidi w:val="0"/>
        <w:rPr>
          <w:rFonts w:hint="eastAsia"/>
          <w:color w:val="auto"/>
          <w:highlight w:val="none"/>
        </w:rPr>
      </w:pPr>
      <w:r>
        <w:rPr>
          <w:rFonts w:hint="eastAsia"/>
          <w:color w:val="auto"/>
          <w:highlight w:val="none"/>
        </w:rPr>
        <w:t>逾期送达或者未按照招标文件要求密封的投标文件，</w:t>
      </w:r>
      <w:r>
        <w:rPr>
          <w:rFonts w:hint="eastAsia"/>
          <w:color w:val="auto"/>
          <w:highlight w:val="none"/>
          <w:lang w:val="en-US" w:eastAsia="zh-CN"/>
        </w:rPr>
        <w:t>将被</w:t>
      </w:r>
      <w:r>
        <w:rPr>
          <w:rFonts w:hint="eastAsia"/>
          <w:color w:val="auto"/>
          <w:highlight w:val="none"/>
        </w:rPr>
        <w:t>采购代理机构拒收</w:t>
      </w:r>
      <w:r>
        <w:rPr>
          <w:rFonts w:hint="eastAsia"/>
          <w:color w:val="auto"/>
          <w:highlight w:val="none"/>
          <w:lang w:eastAsia="zh-CN"/>
        </w:rPr>
        <w:t>，</w:t>
      </w:r>
      <w:r>
        <w:rPr>
          <w:rFonts w:hint="eastAsia"/>
          <w:color w:val="auto"/>
          <w:highlight w:val="none"/>
          <w:lang w:val="en-US" w:eastAsia="zh-CN"/>
        </w:rPr>
        <w:t>并</w:t>
      </w:r>
      <w:r>
        <w:rPr>
          <w:rFonts w:hint="eastAsia"/>
          <w:color w:val="auto"/>
          <w:highlight w:val="none"/>
        </w:rPr>
        <w:t>告知投标人不予接收的原因。</w:t>
      </w:r>
    </w:p>
    <w:p>
      <w:pPr>
        <w:pStyle w:val="28"/>
        <w:bidi w:val="0"/>
        <w:rPr>
          <w:rFonts w:hint="eastAsia"/>
          <w:color w:val="auto"/>
          <w:highlight w:val="none"/>
        </w:rPr>
      </w:pPr>
      <w:r>
        <w:rPr>
          <w:rFonts w:hint="eastAsia"/>
          <w:color w:val="auto"/>
          <w:highlight w:val="none"/>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28"/>
        <w:bidi w:val="0"/>
        <w:rPr>
          <w:rFonts w:hint="eastAsia"/>
          <w:color w:val="auto"/>
          <w:highlight w:val="none"/>
        </w:rPr>
      </w:pPr>
      <w:r>
        <w:rPr>
          <w:rFonts w:hint="eastAsia"/>
          <w:color w:val="auto"/>
          <w:highlight w:val="none"/>
        </w:rPr>
        <w:t>递交投标文件时，</w:t>
      </w:r>
      <w:r>
        <w:rPr>
          <w:rFonts w:hint="eastAsia"/>
          <w:color w:val="auto"/>
          <w:highlight w:val="none"/>
          <w:lang w:val="en-US" w:eastAsia="zh-CN"/>
        </w:rPr>
        <w:t>投标</w:t>
      </w:r>
      <w:r>
        <w:rPr>
          <w:rFonts w:hint="eastAsia"/>
          <w:color w:val="auto"/>
          <w:highlight w:val="none"/>
        </w:rPr>
        <w:t>供应商名称和</w:t>
      </w:r>
      <w:r>
        <w:rPr>
          <w:rFonts w:hint="eastAsia"/>
          <w:color w:val="auto"/>
          <w:highlight w:val="none"/>
          <w:lang w:val="en-US" w:eastAsia="zh-CN"/>
        </w:rPr>
        <w:t>投标</w:t>
      </w:r>
      <w:r>
        <w:rPr>
          <w:rFonts w:hint="eastAsia"/>
          <w:color w:val="auto"/>
          <w:highlight w:val="none"/>
        </w:rPr>
        <w:t>文件的</w:t>
      </w:r>
      <w:r>
        <w:rPr>
          <w:rFonts w:hint="eastAsia"/>
          <w:color w:val="auto"/>
          <w:highlight w:val="none"/>
          <w:lang w:val="en-US" w:eastAsia="zh-CN"/>
        </w:rPr>
        <w:t>项目编号</w:t>
      </w:r>
      <w:r>
        <w:rPr>
          <w:rFonts w:hint="eastAsia"/>
          <w:color w:val="auto"/>
          <w:highlight w:val="none"/>
        </w:rPr>
        <w:t>应当与</w:t>
      </w:r>
      <w:r>
        <w:rPr>
          <w:rFonts w:hint="eastAsia"/>
          <w:color w:val="auto"/>
          <w:highlight w:val="none"/>
          <w:lang w:val="en-US" w:eastAsia="zh-CN"/>
        </w:rPr>
        <w:t>报名</w:t>
      </w:r>
      <w:r>
        <w:rPr>
          <w:rFonts w:hint="eastAsia"/>
          <w:color w:val="auto"/>
          <w:highlight w:val="none"/>
        </w:rPr>
        <w:t>供应商名称和招标文件的</w:t>
      </w:r>
      <w:r>
        <w:rPr>
          <w:rFonts w:hint="eastAsia"/>
          <w:color w:val="auto"/>
          <w:highlight w:val="none"/>
          <w:lang w:val="en-US" w:eastAsia="zh-CN"/>
        </w:rPr>
        <w:t>项目编号</w:t>
      </w:r>
      <w:r>
        <w:rPr>
          <w:rFonts w:hint="eastAsia"/>
          <w:color w:val="auto"/>
          <w:highlight w:val="none"/>
        </w:rPr>
        <w:t>一致。但是，投标文件实质内容</w:t>
      </w:r>
      <w:r>
        <w:rPr>
          <w:rFonts w:hint="eastAsia"/>
          <w:color w:val="auto"/>
          <w:highlight w:val="none"/>
          <w:lang w:val="en-US" w:eastAsia="zh-CN"/>
        </w:rPr>
        <w:t>与</w:t>
      </w:r>
      <w:r>
        <w:rPr>
          <w:rFonts w:hint="eastAsia"/>
          <w:color w:val="auto"/>
          <w:highlight w:val="none"/>
        </w:rPr>
        <w:t>报名供应商名称和招标文件的</w:t>
      </w:r>
      <w:r>
        <w:rPr>
          <w:rFonts w:hint="eastAsia"/>
          <w:color w:val="auto"/>
          <w:highlight w:val="none"/>
          <w:lang w:val="en-US" w:eastAsia="zh-CN"/>
        </w:rPr>
        <w:t>项目编号</w:t>
      </w:r>
      <w:r>
        <w:rPr>
          <w:rFonts w:hint="eastAsia"/>
          <w:color w:val="auto"/>
          <w:highlight w:val="none"/>
        </w:rPr>
        <w:t>一致，只是封面文字错误的，可以在评标过程中当面予以澄清，以有效的澄清材料作为认定投标文件是否有效的依据。</w:t>
      </w:r>
    </w:p>
    <w:p>
      <w:pPr>
        <w:pStyle w:val="28"/>
        <w:bidi w:val="0"/>
        <w:rPr>
          <w:rFonts w:hint="eastAsia"/>
          <w:color w:val="auto"/>
          <w:highlight w:val="none"/>
        </w:rPr>
      </w:pPr>
      <w:r>
        <w:rPr>
          <w:rFonts w:hint="eastAsia"/>
          <w:color w:val="auto"/>
          <w:highlight w:val="none"/>
        </w:rPr>
        <w:t>本次招标不接收邮寄的投标文件。</w:t>
      </w:r>
    </w:p>
    <w:p>
      <w:pPr>
        <w:pStyle w:val="27"/>
        <w:bidi w:val="0"/>
        <w:rPr>
          <w:rFonts w:hint="eastAsia"/>
          <w:color w:val="auto"/>
          <w:highlight w:val="none"/>
        </w:rPr>
      </w:pPr>
      <w:bookmarkStart w:id="522" w:name="_Toc183582228"/>
      <w:bookmarkStart w:id="523" w:name="_Toc183682365"/>
      <w:bookmarkStart w:id="524" w:name="_Toc307564851"/>
      <w:bookmarkStart w:id="525" w:name="_Toc327196285"/>
      <w:bookmarkStart w:id="526" w:name="_Toc1451"/>
      <w:bookmarkStart w:id="527" w:name="_Toc309897514"/>
      <w:bookmarkStart w:id="528" w:name="_Toc12138"/>
      <w:bookmarkStart w:id="529" w:name="_Toc22634"/>
      <w:bookmarkStart w:id="530" w:name="_Toc23816"/>
      <w:bookmarkStart w:id="531" w:name="_Toc27106"/>
      <w:bookmarkStart w:id="532" w:name="_Toc15674"/>
      <w:bookmarkStart w:id="533" w:name="_Toc319440141"/>
      <w:bookmarkStart w:id="534" w:name="_Toc308188151"/>
      <w:bookmarkStart w:id="535" w:name="_Toc4178"/>
      <w:bookmarkStart w:id="536" w:name="_Toc308084596"/>
      <w:bookmarkStart w:id="537" w:name="_Toc3865"/>
      <w:bookmarkStart w:id="538" w:name="_Toc319439899"/>
      <w:bookmarkStart w:id="539" w:name="_Toc17045"/>
      <w:bookmarkStart w:id="540" w:name="_Toc26118"/>
      <w:bookmarkStart w:id="541" w:name="_Toc307501108"/>
      <w:bookmarkStart w:id="542" w:name="_Toc217446055"/>
      <w:bookmarkStart w:id="543" w:name="_Toc7313"/>
      <w:bookmarkStart w:id="544" w:name="_Toc6140"/>
      <w:r>
        <w:rPr>
          <w:rFonts w:hint="eastAsia"/>
          <w:color w:val="auto"/>
          <w:highlight w:val="none"/>
        </w:rPr>
        <w:t>投标文件的修改和撤</w:t>
      </w:r>
      <w:bookmarkEnd w:id="522"/>
      <w:bookmarkEnd w:id="523"/>
      <w:r>
        <w:rPr>
          <w:rFonts w:hint="eastAsia"/>
          <w:color w:val="auto"/>
          <w:highlight w:val="none"/>
        </w:rPr>
        <w:t>回</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Style w:val="28"/>
        <w:bidi w:val="0"/>
        <w:rPr>
          <w:rFonts w:hint="eastAsia"/>
          <w:color w:val="auto"/>
          <w:highlight w:val="none"/>
        </w:rPr>
      </w:pPr>
      <w:r>
        <w:rPr>
          <w:rFonts w:hint="eastAsia"/>
          <w:color w:val="auto"/>
          <w:highlight w:val="none"/>
        </w:rPr>
        <w:t>投标人在投标截止时间前，可以对所递交的投标文件进行补充、修改或者撤回，并书面通知采购人或者采购代理机构。补充、修改的内容应当按照招标文件要求签署、盖章、密封后，作为投标文件的组成部分。</w:t>
      </w:r>
    </w:p>
    <w:p>
      <w:pPr>
        <w:pStyle w:val="28"/>
        <w:bidi w:val="0"/>
        <w:rPr>
          <w:rFonts w:hint="eastAsia"/>
          <w:color w:val="auto"/>
          <w:highlight w:val="none"/>
        </w:rPr>
      </w:pPr>
      <w:r>
        <w:rPr>
          <w:rFonts w:hint="eastAsia"/>
          <w:color w:val="auto"/>
          <w:highlight w:val="none"/>
        </w:rPr>
        <w:t>投标人的修改书或撤回通知书，应由其</w:t>
      </w:r>
      <w:r>
        <w:rPr>
          <w:rFonts w:hint="eastAsia"/>
          <w:color w:val="auto"/>
          <w:highlight w:val="none"/>
          <w:lang w:eastAsia="zh-CN"/>
        </w:rPr>
        <w:t>法定代表人/单位负责人或授权代表</w:t>
      </w:r>
      <w:r>
        <w:rPr>
          <w:rFonts w:hint="eastAsia"/>
          <w:color w:val="auto"/>
          <w:highlight w:val="none"/>
        </w:rPr>
        <w:t>签署并盖单位印章。修改书应按</w:t>
      </w:r>
      <w:r>
        <w:rPr>
          <w:rFonts w:hint="eastAsia"/>
          <w:color w:val="auto"/>
          <w:highlight w:val="none"/>
          <w:lang w:val="en-US" w:eastAsia="zh-CN"/>
        </w:rPr>
        <w:t>第二章第四节第十一</w:t>
      </w:r>
      <w:r>
        <w:rPr>
          <w:rFonts w:hint="eastAsia"/>
          <w:color w:val="auto"/>
          <w:highlight w:val="none"/>
        </w:rPr>
        <w:t>条规定进行密封和标注，并在密封袋上标注“修改”字样。</w:t>
      </w:r>
    </w:p>
    <w:p>
      <w:pPr>
        <w:pStyle w:val="28"/>
        <w:bidi w:val="0"/>
        <w:rPr>
          <w:rFonts w:hint="eastAsia"/>
          <w:color w:val="auto"/>
          <w:highlight w:val="none"/>
        </w:rPr>
      </w:pPr>
      <w:r>
        <w:rPr>
          <w:rFonts w:hint="eastAsia"/>
          <w:color w:val="auto"/>
          <w:highlight w:val="none"/>
        </w:rPr>
        <w:t>在投标截止时间之后，投标人不得对其递交的投标文件做任何修改，撤回投标的，将按照有关规定进行相应处理。</w:t>
      </w:r>
    </w:p>
    <w:p>
      <w:pPr>
        <w:pStyle w:val="47"/>
        <w:bidi w:val="0"/>
        <w:rPr>
          <w:rFonts w:hint="eastAsia"/>
          <w:color w:val="auto"/>
          <w:highlight w:val="none"/>
        </w:rPr>
      </w:pPr>
      <w:bookmarkStart w:id="545" w:name="_Toc217446056"/>
      <w:bookmarkStart w:id="546" w:name="_Toc16817"/>
      <w:bookmarkStart w:id="547" w:name="_Toc24962"/>
      <w:bookmarkStart w:id="548" w:name="_Toc77400782"/>
      <w:bookmarkStart w:id="549" w:name="_Toc183682368"/>
      <w:bookmarkStart w:id="550" w:name="_Toc327196286"/>
      <w:bookmarkStart w:id="551" w:name="_Toc20070"/>
      <w:bookmarkStart w:id="552" w:name="_Toc89075878"/>
      <w:bookmarkStart w:id="553" w:name="_Toc15691"/>
      <w:bookmarkStart w:id="554" w:name="_Toc21531"/>
      <w:bookmarkStart w:id="555" w:name="_Toc183582231"/>
      <w:r>
        <w:rPr>
          <w:rFonts w:hint="eastAsia"/>
          <w:color w:val="auto"/>
          <w:highlight w:val="none"/>
        </w:rPr>
        <w:t>开标和中标</w:t>
      </w:r>
      <w:bookmarkEnd w:id="545"/>
      <w:bookmarkEnd w:id="546"/>
      <w:bookmarkEnd w:id="547"/>
      <w:bookmarkEnd w:id="548"/>
      <w:bookmarkEnd w:id="549"/>
      <w:bookmarkEnd w:id="550"/>
      <w:bookmarkEnd w:id="551"/>
      <w:bookmarkEnd w:id="552"/>
      <w:bookmarkEnd w:id="553"/>
      <w:bookmarkEnd w:id="554"/>
      <w:bookmarkEnd w:id="555"/>
    </w:p>
    <w:p>
      <w:pPr>
        <w:pStyle w:val="27"/>
        <w:numPr>
          <w:ilvl w:val="2"/>
          <w:numId w:val="13"/>
        </w:numPr>
        <w:bidi w:val="0"/>
        <w:rPr>
          <w:rFonts w:hint="eastAsia"/>
          <w:color w:val="auto"/>
          <w:highlight w:val="none"/>
        </w:rPr>
      </w:pPr>
      <w:bookmarkStart w:id="556" w:name="_Toc19952"/>
      <w:bookmarkStart w:id="557" w:name="_Toc217446057"/>
      <w:bookmarkStart w:id="558" w:name="_Toc319440143"/>
      <w:bookmarkStart w:id="559" w:name="_Toc309897516"/>
      <w:bookmarkStart w:id="560" w:name="_Toc13303"/>
      <w:bookmarkStart w:id="561" w:name="_Toc307564853"/>
      <w:bookmarkStart w:id="562" w:name="_Toc308188153"/>
      <w:bookmarkStart w:id="563" w:name="_Toc319439901"/>
      <w:bookmarkStart w:id="564" w:name="_Toc13237"/>
      <w:bookmarkStart w:id="565" w:name="_Toc15426"/>
      <w:bookmarkStart w:id="566" w:name="_Toc11957"/>
      <w:bookmarkStart w:id="567" w:name="_Toc308084598"/>
      <w:bookmarkStart w:id="568" w:name="_Toc18049"/>
      <w:bookmarkStart w:id="569" w:name="_Toc183582232"/>
      <w:bookmarkStart w:id="570" w:name="_Toc8915"/>
      <w:bookmarkStart w:id="571" w:name="_Toc307501110"/>
      <w:bookmarkStart w:id="572" w:name="_Toc32243"/>
      <w:bookmarkStart w:id="573" w:name="_Toc327196287"/>
      <w:bookmarkStart w:id="574" w:name="_Toc23998"/>
      <w:bookmarkStart w:id="575" w:name="_Toc183682369"/>
      <w:bookmarkStart w:id="576" w:name="_Toc29493"/>
      <w:bookmarkStart w:id="577" w:name="_Toc6289"/>
      <w:bookmarkStart w:id="578" w:name="_Toc29031"/>
      <w:r>
        <w:rPr>
          <w:rFonts w:hint="eastAsia"/>
          <w:color w:val="auto"/>
          <w:highlight w:val="none"/>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pStyle w:val="28"/>
        <w:numPr>
          <w:ilvl w:val="3"/>
          <w:numId w:val="14"/>
        </w:numPr>
        <w:bidi w:val="0"/>
        <w:rPr>
          <w:rFonts w:hint="eastAsia"/>
          <w:color w:val="auto"/>
          <w:highlight w:val="none"/>
          <w:lang w:eastAsia="zh-CN"/>
        </w:rPr>
      </w:pPr>
      <w:bookmarkStart w:id="579" w:name="_Toc319439902"/>
      <w:bookmarkStart w:id="580" w:name="_Toc327196288"/>
      <w:bookmarkStart w:id="581" w:name="_Toc217446058"/>
      <w:bookmarkStart w:id="582" w:name="_Toc309897517"/>
      <w:bookmarkStart w:id="583" w:name="_Toc307501111"/>
      <w:bookmarkStart w:id="584" w:name="_Toc308084599"/>
      <w:bookmarkStart w:id="585" w:name="_Toc319440144"/>
      <w:bookmarkStart w:id="586" w:name="_Toc307564854"/>
      <w:bookmarkStart w:id="587" w:name="_Toc308188154"/>
      <w:r>
        <w:rPr>
          <w:rFonts w:hint="eastAsia"/>
          <w:color w:val="auto"/>
          <w:highlight w:val="none"/>
        </w:rPr>
        <w:t>开标在招标文件规定的时间和地点公开进行，采购人、投标人须派代表参加并签到以证明其出席。开标由采购代理机构主持，采购人、投标人代表参加。评标专家不参加开标活动。投标人未参加开标的，视同认可开标结果</w:t>
      </w:r>
      <w:r>
        <w:rPr>
          <w:rFonts w:hint="eastAsia"/>
          <w:color w:val="auto"/>
          <w:highlight w:val="none"/>
          <w:lang w:eastAsia="zh-CN"/>
        </w:rPr>
        <w:t>。</w:t>
      </w:r>
    </w:p>
    <w:p>
      <w:pPr>
        <w:pStyle w:val="28"/>
        <w:numPr>
          <w:ilvl w:val="3"/>
          <w:numId w:val="14"/>
        </w:numPr>
        <w:bidi w:val="0"/>
        <w:rPr>
          <w:rFonts w:hint="eastAsia"/>
          <w:color w:val="auto"/>
          <w:highlight w:val="none"/>
        </w:rPr>
      </w:pPr>
      <w:r>
        <w:rPr>
          <w:rFonts w:hint="eastAsia"/>
          <w:color w:val="auto"/>
          <w:highlight w:val="none"/>
          <w:lang w:eastAsia="zh-CN"/>
        </w:rPr>
        <w:t>开标活动对外公开，在保证正常开标秩序的前提下，允许除投标人及其代表之外的其他人员观摩开标活动。</w:t>
      </w:r>
      <w:r>
        <w:rPr>
          <w:rFonts w:hint="eastAsia"/>
          <w:color w:val="auto"/>
          <w:highlight w:val="none"/>
          <w:lang w:val="en-US" w:eastAsia="zh-CN"/>
        </w:rPr>
        <w:t>其他人员需要参加开标活动的，须事先向采购代理机构书面申请并取得同意后方能参加，且在开标现场须服从采购代理机构的安排</w:t>
      </w:r>
      <w:r>
        <w:rPr>
          <w:rFonts w:hint="eastAsia"/>
          <w:color w:val="auto"/>
          <w:highlight w:val="none"/>
          <w:lang w:eastAsia="zh-CN"/>
        </w:rPr>
        <w:t>。</w:t>
      </w:r>
    </w:p>
    <w:p>
      <w:pPr>
        <w:pStyle w:val="28"/>
        <w:numPr>
          <w:ilvl w:val="3"/>
          <w:numId w:val="14"/>
        </w:numPr>
        <w:bidi w:val="0"/>
        <w:rPr>
          <w:rFonts w:hint="eastAsia"/>
          <w:color w:val="auto"/>
          <w:highlight w:val="none"/>
        </w:rPr>
      </w:pPr>
      <w:r>
        <w:rPr>
          <w:rFonts w:hint="eastAsia"/>
          <w:color w:val="auto"/>
          <w:highlight w:val="none"/>
        </w:rPr>
        <w:t>开标时，可根据具体情况邀请有关监督管理部门对开标活动进行现场监督。</w:t>
      </w:r>
    </w:p>
    <w:p>
      <w:pPr>
        <w:pStyle w:val="28"/>
        <w:numPr>
          <w:ilvl w:val="3"/>
          <w:numId w:val="14"/>
        </w:numPr>
        <w:bidi w:val="0"/>
        <w:rPr>
          <w:rFonts w:hint="eastAsia"/>
          <w:color w:val="auto"/>
          <w:highlight w:val="none"/>
        </w:rPr>
      </w:pPr>
      <w:r>
        <w:rPr>
          <w:rFonts w:hint="eastAsia"/>
          <w:color w:val="auto"/>
          <w:highlight w:val="none"/>
        </w:rPr>
        <w:t>开标时，由投标人或者其推选的代表先检查其自己递交的投标文件的密封情况，经确认无误后，由招标工作人员将投标人单独</w:t>
      </w:r>
      <w:r>
        <w:rPr>
          <w:rFonts w:hint="eastAsia"/>
          <w:color w:val="auto"/>
          <w:highlight w:val="none"/>
          <w:lang w:eastAsia="zh-CN"/>
        </w:rPr>
        <w:t>提</w:t>
      </w:r>
      <w:r>
        <w:rPr>
          <w:rFonts w:hint="eastAsia"/>
          <w:color w:val="auto"/>
          <w:highlight w:val="none"/>
        </w:rPr>
        <w:t>交</w:t>
      </w:r>
      <w:r>
        <w:rPr>
          <w:rFonts w:hint="eastAsia"/>
          <w:color w:val="auto"/>
          <w:highlight w:val="none"/>
          <w:lang w:eastAsia="zh-CN"/>
        </w:rPr>
        <w:t>用于开标唱标</w:t>
      </w:r>
      <w:r>
        <w:rPr>
          <w:rFonts w:hint="eastAsia"/>
          <w:color w:val="auto"/>
          <w:highlight w:val="none"/>
        </w:rPr>
        <w:t>的“开标一览表”当众拆封，并由唱标人员按照招标文件规定的内容进行宣读。</w:t>
      </w:r>
    </w:p>
    <w:p>
      <w:pPr>
        <w:pStyle w:val="28"/>
        <w:numPr>
          <w:ilvl w:val="3"/>
          <w:numId w:val="14"/>
        </w:numPr>
        <w:bidi w:val="0"/>
        <w:rPr>
          <w:rFonts w:hint="eastAsia"/>
          <w:color w:val="auto"/>
          <w:highlight w:val="none"/>
        </w:rPr>
      </w:pPr>
      <w:r>
        <w:rPr>
          <w:rFonts w:hint="eastAsia"/>
          <w:color w:val="auto"/>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w:t>
      </w:r>
      <w:r>
        <w:rPr>
          <w:rFonts w:hint="eastAsia"/>
          <w:color w:val="auto"/>
          <w:highlight w:val="none"/>
          <w:lang w:val="en-US" w:eastAsia="zh-CN"/>
        </w:rPr>
        <w:t>至</w:t>
      </w:r>
      <w:r>
        <w:rPr>
          <w:rFonts w:hint="eastAsia"/>
          <w:color w:val="auto"/>
          <w:highlight w:val="none"/>
        </w:rPr>
        <w:t>开标主持人或者现场监督人员，要求开标现场记录人员予以记录，但不得干扰、阻挠开标工作的正常进行。</w:t>
      </w:r>
    </w:p>
    <w:p>
      <w:pPr>
        <w:pStyle w:val="28"/>
        <w:numPr>
          <w:ilvl w:val="3"/>
          <w:numId w:val="14"/>
        </w:numPr>
        <w:bidi w:val="0"/>
        <w:rPr>
          <w:rFonts w:hint="eastAsia"/>
          <w:color w:val="auto"/>
          <w:highlight w:val="none"/>
        </w:rPr>
      </w:pPr>
      <w:r>
        <w:rPr>
          <w:rFonts w:hint="eastAsia"/>
          <w:color w:val="auto"/>
          <w:highlight w:val="none"/>
        </w:rPr>
        <w:t>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28"/>
        <w:numPr>
          <w:ilvl w:val="3"/>
          <w:numId w:val="14"/>
        </w:numPr>
        <w:bidi w:val="0"/>
        <w:rPr>
          <w:rFonts w:hint="eastAsia"/>
          <w:color w:val="auto"/>
          <w:highlight w:val="none"/>
        </w:rPr>
      </w:pPr>
      <w:r>
        <w:rPr>
          <w:rFonts w:hint="eastAsia"/>
          <w:color w:val="auto"/>
          <w:highlight w:val="none"/>
        </w:rPr>
        <w:t>投标文件中相关内容与“开标一览表”不一致的，以“开标一览表”为准。对不同文字文本投标文件的解释发生异议的，以中文文本为准。</w:t>
      </w:r>
    </w:p>
    <w:p>
      <w:pPr>
        <w:pStyle w:val="28"/>
        <w:numPr>
          <w:ilvl w:val="3"/>
          <w:numId w:val="14"/>
        </w:numPr>
        <w:bidi w:val="0"/>
        <w:rPr>
          <w:rFonts w:hint="eastAsia"/>
          <w:color w:val="auto"/>
          <w:highlight w:val="none"/>
        </w:rPr>
      </w:pPr>
      <w:r>
        <w:rPr>
          <w:rFonts w:hint="eastAsia"/>
          <w:color w:val="auto"/>
          <w:highlight w:val="none"/>
        </w:rPr>
        <w:t>所有投标唱标完毕，如投标人代表对宣读的“开标一览表”上的内容有异议的，应在获得开标会主持人同意后当场提出。如确实属于唱标人员宣读错了的，经现场监督人员核实后，当场予以更正。</w:t>
      </w:r>
    </w:p>
    <w:p>
      <w:pPr>
        <w:pStyle w:val="27"/>
        <w:numPr>
          <w:ilvl w:val="2"/>
          <w:numId w:val="13"/>
        </w:numPr>
        <w:bidi w:val="0"/>
        <w:rPr>
          <w:rFonts w:hint="eastAsia"/>
          <w:color w:val="auto"/>
          <w:highlight w:val="none"/>
        </w:rPr>
      </w:pPr>
      <w:bookmarkStart w:id="588" w:name="_Toc24509"/>
      <w:bookmarkStart w:id="589" w:name="_Toc12755"/>
      <w:bookmarkStart w:id="590" w:name="_Toc10782"/>
      <w:bookmarkStart w:id="591" w:name="_Toc18256"/>
      <w:bookmarkStart w:id="592" w:name="_Toc26350"/>
      <w:bookmarkStart w:id="593" w:name="_Toc7168"/>
      <w:bookmarkStart w:id="594" w:name="_Toc20885"/>
      <w:bookmarkStart w:id="595" w:name="_Toc827"/>
      <w:bookmarkStart w:id="596" w:name="_Toc5097"/>
      <w:bookmarkStart w:id="597" w:name="_Toc17927"/>
      <w:bookmarkStart w:id="598" w:name="_Toc15266"/>
      <w:bookmarkStart w:id="599" w:name="_Toc2349"/>
      <w:r>
        <w:rPr>
          <w:rFonts w:hint="eastAsia"/>
          <w:color w:val="auto"/>
          <w:highlight w:val="none"/>
        </w:rPr>
        <w:t>开标程序</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pStyle w:val="29"/>
        <w:bidi w:val="0"/>
        <w:rPr>
          <w:rFonts w:hint="eastAsia"/>
          <w:color w:val="auto"/>
          <w:highlight w:val="none"/>
        </w:rPr>
      </w:pPr>
      <w:r>
        <w:rPr>
          <w:rFonts w:hint="eastAsia"/>
          <w:color w:val="auto"/>
          <w:highlight w:val="none"/>
        </w:rPr>
        <w:t>开标会主持人按照招标文件规定的开标时间宣布开标，按照规定要求主持开标会。开标将按以下程序进行：</w:t>
      </w:r>
    </w:p>
    <w:p>
      <w:pPr>
        <w:pStyle w:val="28"/>
        <w:numPr>
          <w:ilvl w:val="3"/>
          <w:numId w:val="13"/>
        </w:numPr>
        <w:bidi w:val="0"/>
        <w:rPr>
          <w:color w:val="auto"/>
          <w:highlight w:val="none"/>
        </w:rPr>
      </w:pPr>
      <w:bookmarkStart w:id="600" w:name="_Toc13983"/>
      <w:bookmarkStart w:id="601" w:name="_Toc13447"/>
      <w:bookmarkStart w:id="602" w:name="_Toc183582238"/>
      <w:bookmarkStart w:id="603" w:name="_Toc183682375"/>
      <w:bookmarkStart w:id="604" w:name="_Toc28481"/>
      <w:bookmarkStart w:id="605" w:name="_Toc217446063"/>
      <w:bookmarkStart w:id="606" w:name="_Toc15967"/>
      <w:bookmarkStart w:id="607" w:name="_Toc327196289"/>
      <w:bookmarkStart w:id="608" w:name="_Toc28123"/>
      <w:bookmarkStart w:id="609" w:name="_Toc309897518"/>
      <w:bookmarkStart w:id="610" w:name="_Toc319440145"/>
      <w:bookmarkStart w:id="611" w:name="_Toc307501112"/>
      <w:bookmarkStart w:id="612" w:name="_Toc308188155"/>
      <w:bookmarkStart w:id="613" w:name="_Toc319439903"/>
      <w:bookmarkStart w:id="614" w:name="_Toc9806"/>
      <w:bookmarkStart w:id="615" w:name="_Toc489"/>
      <w:bookmarkStart w:id="616" w:name="_Toc8800"/>
      <w:bookmarkStart w:id="617" w:name="_Toc307564855"/>
      <w:bookmarkStart w:id="618" w:name="_Toc308084600"/>
      <w:bookmarkStart w:id="619" w:name="_Toc16512"/>
      <w:bookmarkStart w:id="620" w:name="_Toc13751"/>
      <w:r>
        <w:rPr>
          <w:rFonts w:hint="eastAsia"/>
          <w:color w:val="auto"/>
          <w:highlight w:val="none"/>
        </w:rPr>
        <w:t>宣布开标会开始。当众宣布参加开标会主持人(唱标人)、会议记录人以及根据情况邀请的现场监督人等工作人员，根据“投标文件递交登记表”宣布参加投标的供应商名单。</w:t>
      </w:r>
    </w:p>
    <w:p>
      <w:pPr>
        <w:pStyle w:val="28"/>
        <w:numPr>
          <w:ilvl w:val="3"/>
          <w:numId w:val="13"/>
        </w:numPr>
        <w:bidi w:val="0"/>
        <w:rPr>
          <w:color w:val="auto"/>
          <w:highlight w:val="none"/>
        </w:rPr>
      </w:pPr>
      <w:r>
        <w:rPr>
          <w:rFonts w:hint="eastAsia"/>
          <w:color w:val="auto"/>
          <w:highlight w:val="none"/>
        </w:rPr>
        <w:t>宣布会场纪律和有关注意事项，根据投标人或者其推选的代表对投标文件密封的检查结果，当众宣布投标文件的密封情况。</w:t>
      </w:r>
    </w:p>
    <w:p>
      <w:pPr>
        <w:pStyle w:val="28"/>
        <w:numPr>
          <w:ilvl w:val="3"/>
          <w:numId w:val="13"/>
        </w:numPr>
        <w:bidi w:val="0"/>
        <w:rPr>
          <w:rFonts w:hint="eastAsia"/>
          <w:color w:val="auto"/>
          <w:highlight w:val="none"/>
          <w:lang w:val="en-US" w:eastAsia="zh-CN"/>
        </w:rPr>
      </w:pPr>
      <w:r>
        <w:rPr>
          <w:rFonts w:hint="eastAsia"/>
          <w:color w:val="auto"/>
          <w:highlight w:val="none"/>
          <w:lang w:val="en-US" w:eastAsia="zh-CN"/>
        </w:rPr>
        <w:t>投标人不足3家的，不得开标。</w:t>
      </w:r>
    </w:p>
    <w:p>
      <w:pPr>
        <w:pStyle w:val="28"/>
        <w:numPr>
          <w:ilvl w:val="3"/>
          <w:numId w:val="13"/>
        </w:numPr>
        <w:bidi w:val="0"/>
        <w:rPr>
          <w:color w:val="auto"/>
          <w:highlight w:val="none"/>
        </w:rPr>
      </w:pPr>
      <w:r>
        <w:rPr>
          <w:rFonts w:hint="eastAsia"/>
          <w:color w:val="auto"/>
          <w:highlight w:val="none"/>
        </w:rPr>
        <w:t>开标唱标。主持人宣布开标后，由现场工作人员按任意顺序对单独用于开标唱标的“开标一览表”当众进行拆封，由唱标人员宣读投标人名称、投标价格(价格折扣)、或招标文件允许提供的备选投标方案和投标文件的其他主要内容。未宣读的投标价格(价格折扣)或招标文件允许提供的备选投标方案，评标时不予承认。同时，做好开标记录。唱标人员在唱标过程中，如遇有字迹不清楚的，应即刻报告主持人，经工作人员和现场监督人员核实后，主持人立即请投标人代表现场进行澄清或确认。</w:t>
      </w:r>
    </w:p>
    <w:p>
      <w:pPr>
        <w:pStyle w:val="28"/>
        <w:numPr>
          <w:ilvl w:val="3"/>
          <w:numId w:val="13"/>
        </w:numPr>
        <w:bidi w:val="0"/>
        <w:rPr>
          <w:color w:val="auto"/>
          <w:highlight w:val="none"/>
        </w:rPr>
      </w:pPr>
      <w:r>
        <w:rPr>
          <w:rFonts w:hint="eastAsia"/>
          <w:color w:val="auto"/>
          <w:highlight w:val="none"/>
        </w:rPr>
        <w:t>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28"/>
        <w:numPr>
          <w:ilvl w:val="3"/>
          <w:numId w:val="13"/>
        </w:numPr>
        <w:bidi w:val="0"/>
        <w:rPr>
          <w:color w:val="auto"/>
          <w:highlight w:val="none"/>
        </w:rPr>
      </w:pPr>
      <w:r>
        <w:rPr>
          <w:rFonts w:hint="eastAsia"/>
          <w:color w:val="auto"/>
          <w:highlight w:val="none"/>
        </w:rPr>
        <w:t>宣布开标会结束。主持人宣布开标会结束。所有投标人代表应立即退场(招标文件要求有演示、介绍等的除外)。同时所有投标人应保持通讯设备的畅通，以方便在评标过程中评标委员会要求投标人对投标文件的必要澄清。投标人自行在</w:t>
      </w:r>
      <w:r>
        <w:rPr>
          <w:rFonts w:hint="eastAsia"/>
          <w:color w:val="auto"/>
          <w:highlight w:val="none"/>
          <w:lang w:eastAsia="zh-CN"/>
        </w:rPr>
        <w:t>“四川政府采购网”</w:t>
      </w:r>
      <w:r>
        <w:rPr>
          <w:rFonts w:hint="eastAsia"/>
          <w:color w:val="auto"/>
          <w:highlight w:val="none"/>
        </w:rPr>
        <w:t>查询评标结果。</w:t>
      </w:r>
    </w:p>
    <w:bookmarkEnd w:id="600"/>
    <w:bookmarkEnd w:id="601"/>
    <w:p>
      <w:pPr>
        <w:pStyle w:val="27"/>
        <w:bidi w:val="0"/>
        <w:rPr>
          <w:rFonts w:hint="eastAsia"/>
          <w:color w:val="auto"/>
          <w:highlight w:val="none"/>
          <w:lang w:val="en-US" w:eastAsia="zh-CN"/>
        </w:rPr>
      </w:pPr>
      <w:bookmarkStart w:id="621" w:name="_Toc17999"/>
      <w:bookmarkStart w:id="622" w:name="_Toc6332"/>
      <w:bookmarkStart w:id="623" w:name="_Toc128"/>
      <w:r>
        <w:rPr>
          <w:rFonts w:hint="eastAsia"/>
          <w:color w:val="auto"/>
          <w:highlight w:val="none"/>
          <w:lang w:val="en-US" w:eastAsia="zh-CN"/>
        </w:rPr>
        <w:t>开评标过程存档</w:t>
      </w:r>
      <w:bookmarkEnd w:id="621"/>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开标和评标过程进行全过程电子监控，并将电子监控资料存储介质留存归档。</w:t>
      </w:r>
    </w:p>
    <w:p>
      <w:pPr>
        <w:pStyle w:val="27"/>
        <w:bidi w:val="0"/>
        <w:rPr>
          <w:rFonts w:hint="eastAsia"/>
          <w:color w:val="auto"/>
          <w:highlight w:val="none"/>
          <w:lang w:val="en-US" w:eastAsia="zh-CN"/>
        </w:rPr>
      </w:pPr>
      <w:bookmarkStart w:id="624" w:name="_Toc11564"/>
      <w:bookmarkStart w:id="625" w:name="_Toc32453"/>
      <w:r>
        <w:rPr>
          <w:rFonts w:hint="eastAsia"/>
          <w:color w:val="auto"/>
          <w:highlight w:val="none"/>
          <w:lang w:val="en-US" w:eastAsia="zh-CN"/>
        </w:rPr>
        <w:t>中标结果</w:t>
      </w:r>
      <w:bookmarkEnd w:id="624"/>
    </w:p>
    <w:p>
      <w:pPr>
        <w:pStyle w:val="28"/>
        <w:bidi w:val="0"/>
        <w:rPr>
          <w:rFonts w:hint="eastAsia"/>
          <w:lang w:val="en-US" w:eastAsia="zh-CN"/>
        </w:rPr>
      </w:pPr>
      <w:bookmarkStart w:id="626" w:name="_Toc29809"/>
      <w:r>
        <w:rPr>
          <w:rFonts w:hint="eastAsia"/>
          <w:lang w:val="en-US" w:eastAsia="zh-CN"/>
        </w:rPr>
        <w:t>采购人确定中标供应商后，</w:t>
      </w:r>
      <w:r>
        <w:rPr>
          <w:rFonts w:hint="eastAsia"/>
          <w:highlight w:val="none"/>
          <w:lang w:val="en-US" w:eastAsia="zh-CN"/>
        </w:rPr>
        <w:t>将及时书面通知采购代理机构，</w:t>
      </w:r>
      <w:r>
        <w:rPr>
          <w:rFonts w:hint="eastAsia" w:ascii="宋体" w:hAnsi="宋体" w:eastAsia="宋体" w:cstheme="minorBidi"/>
          <w:snapToGrid w:val="0"/>
          <w:kern w:val="2"/>
          <w:sz w:val="24"/>
          <w:szCs w:val="24"/>
          <w:highlight w:val="none"/>
          <w:lang w:val="en-US" w:eastAsia="zh-CN" w:bidi="ar-SA"/>
        </w:rPr>
        <w:t>采购代理机构在中标</w:t>
      </w:r>
      <w:r>
        <w:rPr>
          <w:rFonts w:hint="eastAsia" w:cstheme="minorBidi"/>
          <w:snapToGrid w:val="0"/>
          <w:kern w:val="2"/>
          <w:sz w:val="24"/>
          <w:szCs w:val="24"/>
          <w:highlight w:val="none"/>
          <w:lang w:val="en-US" w:eastAsia="zh-CN" w:bidi="ar-SA"/>
        </w:rPr>
        <w:t>供应商</w:t>
      </w:r>
      <w:r>
        <w:rPr>
          <w:rFonts w:hint="eastAsia" w:ascii="宋体" w:hAnsi="宋体" w:eastAsia="宋体" w:cstheme="minorBidi"/>
          <w:snapToGrid w:val="0"/>
          <w:kern w:val="2"/>
          <w:sz w:val="24"/>
          <w:szCs w:val="24"/>
          <w:highlight w:val="none"/>
          <w:lang w:val="en-US" w:eastAsia="zh-CN" w:bidi="ar-SA"/>
        </w:rPr>
        <w:t>确定后2个工作日内，在“</w:t>
      </w:r>
      <w:r>
        <w:rPr>
          <w:rFonts w:hint="eastAsia" w:cstheme="minorBidi"/>
          <w:snapToGrid w:val="0"/>
          <w:kern w:val="2"/>
          <w:sz w:val="24"/>
          <w:szCs w:val="24"/>
          <w:highlight w:val="none"/>
          <w:lang w:val="en-US" w:eastAsia="zh-CN" w:bidi="ar-SA"/>
        </w:rPr>
        <w:t>四川政府采购网</w:t>
      </w:r>
      <w:r>
        <w:rPr>
          <w:rFonts w:hint="eastAsia" w:ascii="宋体" w:hAnsi="宋体" w:eastAsia="宋体" w:cstheme="minorBidi"/>
          <w:snapToGrid w:val="0"/>
          <w:kern w:val="2"/>
          <w:sz w:val="24"/>
          <w:szCs w:val="24"/>
          <w:highlight w:val="none"/>
          <w:lang w:val="en-US" w:eastAsia="zh-CN" w:bidi="ar-SA"/>
        </w:rPr>
        <w:t>”发布中标公告</w:t>
      </w:r>
      <w:r>
        <w:rPr>
          <w:rFonts w:hint="eastAsia"/>
          <w:highlight w:val="none"/>
          <w:lang w:val="en-US" w:eastAsia="zh-CN"/>
        </w:rPr>
        <w:t>。</w:t>
      </w:r>
    </w:p>
    <w:p>
      <w:pPr>
        <w:pStyle w:val="28"/>
        <w:bidi w:val="0"/>
        <w:rPr>
          <w:rFonts w:hint="eastAsia"/>
          <w:lang w:val="en-US" w:eastAsia="zh-CN"/>
        </w:rPr>
      </w:pPr>
      <w:r>
        <w:rPr>
          <w:rFonts w:hint="eastAsia"/>
          <w:lang w:val="en-US" w:eastAsia="zh-CN"/>
        </w:rPr>
        <w:t>投标人中标后应当及时领取中标通知书，不能及时领取或拒绝领取中标通知书的，采购代理机构将于中标供应商确定之日起两个工作日内采取邮寄、快递方式将中标通知书送达中标人。</w:t>
      </w:r>
    </w:p>
    <w:p>
      <w:pPr>
        <w:pStyle w:val="28"/>
        <w:bidi w:val="0"/>
        <w:rPr>
          <w:rFonts w:hint="eastAsia"/>
          <w:color w:val="auto"/>
          <w:highlight w:val="none"/>
          <w:lang w:val="en-US" w:eastAsia="zh-CN"/>
        </w:rPr>
      </w:pPr>
      <w:r>
        <w:rPr>
          <w:rFonts w:hint="eastAsia"/>
          <w:color w:val="auto"/>
          <w:highlight w:val="none"/>
          <w:lang w:val="en-US" w:eastAsia="zh-CN"/>
        </w:rPr>
        <w:t>。</w:t>
      </w:r>
      <w:bookmarkEnd w:id="626"/>
    </w:p>
    <w:p>
      <w:pPr>
        <w:pStyle w:val="28"/>
        <w:bidi w:val="0"/>
        <w:rPr>
          <w:rFonts w:hint="eastAsia"/>
          <w:color w:val="auto"/>
          <w:highlight w:val="none"/>
          <w:lang w:val="en-US" w:eastAsia="zh-CN"/>
        </w:rPr>
      </w:pPr>
      <w:bookmarkStart w:id="627" w:name="_Toc25350"/>
      <w:r>
        <w:rPr>
          <w:rFonts w:hint="eastAsia"/>
          <w:color w:val="auto"/>
          <w:highlight w:val="none"/>
          <w:lang w:val="en-US" w:eastAsia="zh-CN"/>
        </w:rPr>
        <w:t>采购项目需要交纳履约保证金的，中标供应商应当按照规定和要求及时向采购人交纳。</w:t>
      </w:r>
      <w:bookmarkEnd w:id="627"/>
    </w:p>
    <w:p>
      <w:pPr>
        <w:pStyle w:val="27"/>
        <w:bidi w:val="0"/>
        <w:rPr>
          <w:rFonts w:hint="eastAsia"/>
          <w:color w:val="auto"/>
          <w:highlight w:val="none"/>
        </w:rPr>
      </w:pPr>
      <w:bookmarkStart w:id="628" w:name="_Toc11706"/>
      <w:r>
        <w:rPr>
          <w:rFonts w:hint="eastAsia"/>
          <w:color w:val="auto"/>
          <w:highlight w:val="none"/>
        </w:rPr>
        <w:t>中标通知</w:t>
      </w:r>
      <w:bookmarkEnd w:id="602"/>
      <w:bookmarkEnd w:id="603"/>
      <w:r>
        <w:rPr>
          <w:rFonts w:hint="eastAsia"/>
          <w:color w:val="auto"/>
          <w:highlight w:val="none"/>
        </w:rPr>
        <w:t>书</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2"/>
      <w:bookmarkEnd w:id="623"/>
      <w:bookmarkEnd w:id="625"/>
      <w:bookmarkEnd w:id="628"/>
    </w:p>
    <w:p>
      <w:pPr>
        <w:pStyle w:val="28"/>
        <w:bidi w:val="0"/>
        <w:rPr>
          <w:rFonts w:hint="eastAsia"/>
          <w:color w:val="auto"/>
          <w:highlight w:val="none"/>
        </w:rPr>
      </w:pPr>
      <w:r>
        <w:rPr>
          <w:rFonts w:hint="eastAsia"/>
          <w:color w:val="auto"/>
          <w:highlight w:val="none"/>
        </w:rPr>
        <w:t>中标通知书为签订政府采购合同的依据，是合同的有效组成部分。</w:t>
      </w:r>
    </w:p>
    <w:p>
      <w:pPr>
        <w:pStyle w:val="28"/>
        <w:bidi w:val="0"/>
        <w:rPr>
          <w:rFonts w:hint="eastAsia"/>
          <w:color w:val="auto"/>
          <w:highlight w:val="none"/>
        </w:rPr>
      </w:pPr>
      <w:r>
        <w:rPr>
          <w:rFonts w:hint="eastAsia"/>
          <w:color w:val="auto"/>
          <w:highlight w:val="none"/>
        </w:rPr>
        <w:t>中标通知书对采购人和中标人均具有法律效力。中标通知书发出后，采购人改变中标结果，或者中标人无正当理由放弃中标的，应当承担相应的法律责任。</w:t>
      </w:r>
    </w:p>
    <w:p>
      <w:pPr>
        <w:pStyle w:val="28"/>
        <w:bidi w:val="0"/>
        <w:rPr>
          <w:rFonts w:hint="eastAsia"/>
          <w:color w:val="auto"/>
          <w:highlight w:val="none"/>
        </w:rPr>
      </w:pPr>
      <w:r>
        <w:rPr>
          <w:rFonts w:hint="eastAsia"/>
          <w:color w:val="auto"/>
          <w:highlight w:val="none"/>
        </w:rPr>
        <w:t>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pStyle w:val="47"/>
        <w:bidi w:val="0"/>
        <w:rPr>
          <w:rFonts w:hint="eastAsia"/>
          <w:color w:val="auto"/>
          <w:highlight w:val="none"/>
        </w:rPr>
      </w:pPr>
      <w:bookmarkStart w:id="629" w:name="_Toc13383"/>
      <w:bookmarkStart w:id="630" w:name="_Toc10354"/>
      <w:bookmarkStart w:id="631" w:name="_Toc30422"/>
      <w:bookmarkStart w:id="632" w:name="_Toc217446064"/>
      <w:bookmarkStart w:id="633" w:name="_Toc7374"/>
      <w:bookmarkStart w:id="634" w:name="_Toc327196290"/>
      <w:bookmarkStart w:id="635" w:name="_Toc2685"/>
      <w:bookmarkStart w:id="636" w:name="_Toc183582240"/>
      <w:bookmarkStart w:id="637" w:name="_Toc183682377"/>
      <w:r>
        <w:rPr>
          <w:rFonts w:hint="eastAsia"/>
          <w:color w:val="auto"/>
          <w:highlight w:val="none"/>
        </w:rPr>
        <w:t>签订及履行合同和验收</w:t>
      </w:r>
      <w:bookmarkEnd w:id="629"/>
      <w:bookmarkEnd w:id="630"/>
      <w:bookmarkEnd w:id="631"/>
      <w:bookmarkEnd w:id="632"/>
      <w:bookmarkEnd w:id="633"/>
      <w:bookmarkEnd w:id="634"/>
      <w:bookmarkEnd w:id="635"/>
    </w:p>
    <w:p>
      <w:pPr>
        <w:pStyle w:val="27"/>
        <w:numPr>
          <w:ilvl w:val="2"/>
          <w:numId w:val="15"/>
        </w:numPr>
        <w:bidi w:val="0"/>
        <w:rPr>
          <w:rFonts w:hint="eastAsia"/>
          <w:color w:val="auto"/>
          <w:highlight w:val="none"/>
        </w:rPr>
      </w:pPr>
      <w:bookmarkStart w:id="638" w:name="_Toc24949"/>
      <w:bookmarkStart w:id="639" w:name="_Toc309897520"/>
      <w:bookmarkStart w:id="640" w:name="_Toc217446065"/>
      <w:bookmarkStart w:id="641" w:name="_Toc20427"/>
      <w:bookmarkStart w:id="642" w:name="_Toc307564857"/>
      <w:bookmarkStart w:id="643" w:name="_Toc319439905"/>
      <w:bookmarkStart w:id="644" w:name="_Toc3273"/>
      <w:bookmarkStart w:id="645" w:name="_Toc9464"/>
      <w:bookmarkStart w:id="646" w:name="_Toc25992"/>
      <w:bookmarkStart w:id="647" w:name="_Toc27989"/>
      <w:bookmarkStart w:id="648" w:name="_Toc515"/>
      <w:bookmarkStart w:id="649" w:name="_Toc307501114"/>
      <w:bookmarkStart w:id="650" w:name="_Toc4460"/>
      <w:bookmarkStart w:id="651" w:name="_Toc308084602"/>
      <w:bookmarkStart w:id="652" w:name="_Toc308188157"/>
      <w:bookmarkStart w:id="653" w:name="_Toc319440147"/>
      <w:bookmarkStart w:id="654" w:name="_Toc5659"/>
      <w:bookmarkStart w:id="655" w:name="_Toc3130"/>
      <w:bookmarkStart w:id="656" w:name="_Toc327196291"/>
      <w:bookmarkStart w:id="657" w:name="_Toc16835"/>
      <w:bookmarkStart w:id="658" w:name="_Toc27214"/>
      <w:r>
        <w:rPr>
          <w:rFonts w:hint="eastAsia"/>
          <w:color w:val="auto"/>
          <w:highlight w:val="none"/>
        </w:rPr>
        <w:t>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pStyle w:val="28"/>
        <w:bidi w:val="0"/>
        <w:rPr>
          <w:color w:val="auto"/>
          <w:highlight w:val="none"/>
        </w:rPr>
      </w:pPr>
      <w:bookmarkStart w:id="659" w:name="_Toc31670"/>
      <w:bookmarkStart w:id="660" w:name="_Toc12852"/>
      <w:bookmarkStart w:id="661" w:name="_Toc309897521"/>
      <w:bookmarkStart w:id="662" w:name="_Toc308188158"/>
      <w:bookmarkStart w:id="663" w:name="_Toc327196292"/>
      <w:bookmarkStart w:id="664" w:name="_Toc3758"/>
      <w:bookmarkStart w:id="665" w:name="_Toc307564858"/>
      <w:bookmarkStart w:id="666" w:name="_Toc217446066"/>
      <w:bookmarkStart w:id="667" w:name="_Toc20139"/>
      <w:bookmarkStart w:id="668" w:name="_Toc319440148"/>
      <w:bookmarkStart w:id="669" w:name="_Toc308084603"/>
      <w:bookmarkStart w:id="670" w:name="_Toc12489"/>
      <w:bookmarkStart w:id="671" w:name="_Toc31397"/>
      <w:bookmarkStart w:id="672" w:name="_Toc307501115"/>
      <w:bookmarkStart w:id="673" w:name="_Toc319439906"/>
      <w:bookmarkStart w:id="674" w:name="_Toc24196"/>
      <w:bookmarkStart w:id="675" w:name="_Toc25756"/>
      <w:bookmarkStart w:id="676" w:name="_Toc26000"/>
      <w:bookmarkStart w:id="677" w:name="_Toc29795"/>
      <w:r>
        <w:rPr>
          <w:rFonts w:hint="eastAsia"/>
          <w:color w:val="auto"/>
          <w:highlight w:val="none"/>
        </w:rPr>
        <w:t>中标人在收到采购代理机构发出的《中标通知书》后，应在</w:t>
      </w:r>
      <w:r>
        <w:rPr>
          <w:rFonts w:hint="eastAsia"/>
          <w:color w:val="auto"/>
          <w:highlight w:val="none"/>
          <w:lang w:val="en-US" w:eastAsia="zh-CN"/>
        </w:rPr>
        <w:t>中标通知书发出之日起30日</w:t>
      </w:r>
      <w:r>
        <w:rPr>
          <w:rFonts w:hint="eastAsia"/>
          <w:color w:val="auto"/>
          <w:highlight w:val="none"/>
        </w:rPr>
        <w:t>内与采购人签订采购合同。由于中标人的原因逾期未与采购人签订采购合同的，将视为放弃中标，取消其中标资格并将按相关规定进行处理。</w:t>
      </w:r>
    </w:p>
    <w:p>
      <w:pPr>
        <w:pStyle w:val="28"/>
        <w:bidi w:val="0"/>
        <w:rPr>
          <w:rFonts w:hint="eastAsia"/>
          <w:color w:val="auto"/>
          <w:highlight w:val="none"/>
        </w:rPr>
      </w:pPr>
      <w:r>
        <w:rPr>
          <w:rFonts w:hint="eastAsia"/>
          <w:color w:val="auto"/>
          <w:highlight w:val="none"/>
        </w:rPr>
        <w:t>政府采购合同应当包括采购人与中标人的名称和住所、标的、数量、质量、价款或者报酬、履行期限及地点和方式、验收要求、违约责任、解决争议的方法等内容。</w:t>
      </w:r>
    </w:p>
    <w:p>
      <w:pPr>
        <w:pStyle w:val="28"/>
        <w:bidi w:val="0"/>
        <w:rPr>
          <w:color w:val="auto"/>
          <w:highlight w:val="none"/>
        </w:rPr>
      </w:pPr>
      <w:r>
        <w:rPr>
          <w:rFonts w:hint="eastAsia"/>
          <w:color w:val="auto"/>
          <w:highlight w:val="none"/>
        </w:rPr>
        <w:t>采购人不得向中标人提出任何不合理的要求，作为签订合同的条件，不得与中标人私下订立背离合同实质性内容的任何协议，所签订的合同不得对招标文件和中标人投标文件确定的事项进行修改。</w:t>
      </w:r>
    </w:p>
    <w:p>
      <w:pPr>
        <w:pStyle w:val="28"/>
        <w:bidi w:val="0"/>
        <w:rPr>
          <w:color w:val="auto"/>
          <w:highlight w:val="none"/>
        </w:rPr>
      </w:pPr>
      <w:r>
        <w:rPr>
          <w:rFonts w:hint="eastAsia"/>
          <w:color w:val="auto"/>
          <w:highlight w:val="none"/>
          <w:lang w:val="en-US" w:eastAsia="zh-CN"/>
        </w:rPr>
        <w:t>本项目的招标</w:t>
      </w:r>
      <w:r>
        <w:rPr>
          <w:rFonts w:hint="eastAsia"/>
          <w:color w:val="auto"/>
          <w:highlight w:val="none"/>
        </w:rPr>
        <w:t>文件、</w:t>
      </w:r>
      <w:r>
        <w:rPr>
          <w:rFonts w:hint="eastAsia"/>
          <w:color w:val="auto"/>
          <w:highlight w:val="none"/>
          <w:lang w:val="en-US" w:eastAsia="zh-CN"/>
        </w:rPr>
        <w:t>中标</w:t>
      </w:r>
      <w:r>
        <w:rPr>
          <w:rFonts w:hint="eastAsia"/>
          <w:color w:val="auto"/>
          <w:highlight w:val="none"/>
        </w:rPr>
        <w:t>供应商提交的</w:t>
      </w:r>
      <w:r>
        <w:rPr>
          <w:rFonts w:hint="eastAsia"/>
          <w:color w:val="auto"/>
          <w:highlight w:val="none"/>
          <w:lang w:val="en-US" w:eastAsia="zh-CN"/>
        </w:rPr>
        <w:t>投标</w:t>
      </w:r>
      <w:r>
        <w:rPr>
          <w:rFonts w:hint="eastAsia"/>
          <w:color w:val="auto"/>
          <w:highlight w:val="none"/>
        </w:rPr>
        <w:t>文件、</w:t>
      </w:r>
      <w:r>
        <w:rPr>
          <w:rFonts w:hint="eastAsia"/>
          <w:color w:val="auto"/>
          <w:highlight w:val="none"/>
          <w:lang w:val="en-US" w:eastAsia="zh-CN"/>
        </w:rPr>
        <w:t>评审</w:t>
      </w:r>
      <w:r>
        <w:rPr>
          <w:rFonts w:hint="eastAsia"/>
          <w:color w:val="auto"/>
          <w:highlight w:val="none"/>
        </w:rPr>
        <w:t>中的</w:t>
      </w:r>
      <w:r>
        <w:rPr>
          <w:rFonts w:hint="eastAsia"/>
          <w:color w:val="auto"/>
          <w:highlight w:val="none"/>
          <w:lang w:val="en-US" w:eastAsia="zh-CN"/>
        </w:rPr>
        <w:t>澄清</w:t>
      </w:r>
      <w:r>
        <w:rPr>
          <w:rFonts w:hint="eastAsia"/>
          <w:color w:val="auto"/>
          <w:highlight w:val="none"/>
        </w:rPr>
        <w:t>、</w:t>
      </w:r>
      <w:r>
        <w:rPr>
          <w:rFonts w:hint="eastAsia"/>
          <w:color w:val="auto"/>
          <w:highlight w:val="none"/>
          <w:lang w:val="en-US" w:eastAsia="zh-CN"/>
        </w:rPr>
        <w:t>中标</w:t>
      </w:r>
      <w:r>
        <w:rPr>
          <w:rFonts w:hint="eastAsia"/>
          <w:color w:val="auto"/>
          <w:highlight w:val="none"/>
        </w:rPr>
        <w:t>通知书等</w:t>
      </w:r>
      <w:r>
        <w:rPr>
          <w:rFonts w:hint="eastAsia"/>
          <w:color w:val="auto"/>
          <w:highlight w:val="none"/>
          <w:lang w:val="en-US" w:eastAsia="zh-CN"/>
        </w:rPr>
        <w:t>文件均具</w:t>
      </w:r>
      <w:r>
        <w:rPr>
          <w:rFonts w:hint="eastAsia"/>
          <w:color w:val="auto"/>
          <w:highlight w:val="none"/>
        </w:rPr>
        <w:t>有法律约束力</w:t>
      </w:r>
      <w:r>
        <w:rPr>
          <w:rFonts w:hint="eastAsia"/>
          <w:color w:val="auto"/>
          <w:highlight w:val="none"/>
          <w:lang w:eastAsia="zh-CN"/>
        </w:rPr>
        <w:t>，</w:t>
      </w:r>
      <w:r>
        <w:rPr>
          <w:rFonts w:hint="eastAsia"/>
          <w:color w:val="auto"/>
          <w:highlight w:val="none"/>
          <w:lang w:val="en-US" w:eastAsia="zh-CN"/>
        </w:rPr>
        <w:t>属于</w:t>
      </w:r>
      <w:r>
        <w:rPr>
          <w:rFonts w:hint="eastAsia"/>
          <w:color w:val="auto"/>
          <w:highlight w:val="none"/>
        </w:rPr>
        <w:t>合同组成</w:t>
      </w:r>
      <w:r>
        <w:rPr>
          <w:rFonts w:hint="eastAsia"/>
          <w:color w:val="auto"/>
          <w:highlight w:val="none"/>
          <w:lang w:val="en-US" w:eastAsia="zh-CN"/>
        </w:rPr>
        <w:t>部分。</w:t>
      </w:r>
    </w:p>
    <w:p>
      <w:pPr>
        <w:pStyle w:val="28"/>
        <w:bidi w:val="0"/>
        <w:rPr>
          <w:color w:val="auto"/>
          <w:highlight w:val="none"/>
        </w:rPr>
      </w:pPr>
      <w:r>
        <w:rPr>
          <w:rFonts w:hint="eastAsia"/>
          <w:color w:val="auto"/>
          <w:highlight w:val="none"/>
        </w:rPr>
        <w:t>中标人因不可抗力原因不能履行采购合同或放弃中标的，采购人可以与排在中标人之后第一位的中标候选人签订采购合同，以此类推。</w:t>
      </w:r>
    </w:p>
    <w:p>
      <w:pPr>
        <w:pStyle w:val="28"/>
        <w:bidi w:val="0"/>
        <w:rPr>
          <w:b/>
          <w:bCs/>
          <w:color w:val="auto"/>
          <w:highlight w:val="none"/>
        </w:rPr>
      </w:pPr>
      <w:r>
        <w:rPr>
          <w:rFonts w:hint="eastAsia"/>
          <w:b/>
          <w:bCs/>
          <w:color w:val="auto"/>
          <w:highlight w:val="none"/>
        </w:rPr>
        <w:t>中标人在合同签订之后2个工作日内，将签订的合同(</w:t>
      </w:r>
      <w:r>
        <w:rPr>
          <w:rFonts w:hint="eastAsia"/>
          <w:b/>
          <w:bCs/>
          <w:color w:val="auto"/>
          <w:highlight w:val="none"/>
          <w:lang w:val="en-US" w:eastAsia="zh-CN"/>
        </w:rPr>
        <w:t>1</w:t>
      </w:r>
      <w:r>
        <w:rPr>
          <w:rFonts w:hint="eastAsia"/>
          <w:b/>
          <w:bCs/>
          <w:color w:val="auto"/>
          <w:highlight w:val="none"/>
        </w:rPr>
        <w:t>份)送采购代理机构进行</w:t>
      </w:r>
      <w:r>
        <w:rPr>
          <w:rFonts w:hint="eastAsia"/>
          <w:b/>
          <w:bCs/>
          <w:color w:val="auto"/>
          <w:highlight w:val="none"/>
          <w:lang w:val="en-US" w:eastAsia="zh-CN"/>
        </w:rPr>
        <w:t>归档留存</w:t>
      </w:r>
      <w:r>
        <w:rPr>
          <w:rFonts w:hint="eastAsia"/>
          <w:b/>
          <w:bCs/>
          <w:color w:val="auto"/>
          <w:highlight w:val="none"/>
        </w:rPr>
        <w:t>。</w:t>
      </w:r>
    </w:p>
    <w:p>
      <w:pPr>
        <w:pStyle w:val="27"/>
        <w:numPr>
          <w:ilvl w:val="2"/>
          <w:numId w:val="15"/>
        </w:numPr>
        <w:bidi w:val="0"/>
        <w:rPr>
          <w:rFonts w:hint="eastAsia"/>
          <w:color w:val="auto"/>
          <w:highlight w:val="none"/>
          <w:lang w:val="en-US"/>
        </w:rPr>
      </w:pPr>
      <w:bookmarkStart w:id="678" w:name="_Toc5856"/>
      <w:bookmarkStart w:id="679" w:name="_Toc12864"/>
      <w:r>
        <w:rPr>
          <w:rFonts w:hint="eastAsia"/>
          <w:color w:val="auto"/>
          <w:highlight w:val="none"/>
        </w:rPr>
        <w:t>合同</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hint="eastAsia"/>
          <w:color w:val="auto"/>
          <w:highlight w:val="none"/>
        </w:rPr>
        <w:t>分包</w:t>
      </w:r>
      <w:bookmarkEnd w:id="674"/>
      <w:bookmarkEnd w:id="675"/>
      <w:r>
        <w:rPr>
          <w:rFonts w:hint="eastAsia"/>
          <w:color w:val="auto"/>
          <w:highlight w:val="none"/>
          <w:lang w:val="en-US" w:eastAsia="zh-CN"/>
        </w:rPr>
        <w:t>(实质性要求)</w:t>
      </w:r>
      <w:bookmarkEnd w:id="676"/>
      <w:bookmarkEnd w:id="677"/>
      <w:bookmarkEnd w:id="678"/>
      <w:bookmarkEnd w:id="679"/>
    </w:p>
    <w:p>
      <w:pPr>
        <w:pStyle w:val="29"/>
        <w:bidi w:val="0"/>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本项目不允许合同分包。</w:t>
      </w:r>
    </w:p>
    <w:p>
      <w:pPr>
        <w:pStyle w:val="27"/>
        <w:numPr>
          <w:ilvl w:val="2"/>
          <w:numId w:val="15"/>
        </w:numPr>
        <w:bidi w:val="0"/>
        <w:rPr>
          <w:rFonts w:hint="eastAsia"/>
          <w:color w:val="auto"/>
          <w:highlight w:val="none"/>
        </w:rPr>
      </w:pPr>
      <w:bookmarkStart w:id="680" w:name="_Toc30074"/>
      <w:bookmarkStart w:id="681" w:name="_Toc29526"/>
      <w:bookmarkStart w:id="682" w:name="_Toc5242"/>
      <w:bookmarkStart w:id="683" w:name="_Toc28937"/>
      <w:bookmarkStart w:id="684" w:name="_Toc29332"/>
      <w:bookmarkStart w:id="685" w:name="_Toc308084604"/>
      <w:bookmarkStart w:id="686" w:name="_Toc319440149"/>
      <w:bookmarkStart w:id="687" w:name="_Toc309897522"/>
      <w:bookmarkStart w:id="688" w:name="_Toc29842"/>
      <w:bookmarkStart w:id="689" w:name="_Toc319439907"/>
      <w:bookmarkStart w:id="690" w:name="_Toc308188159"/>
      <w:bookmarkStart w:id="691" w:name="_Toc30827"/>
      <w:bookmarkStart w:id="692" w:name="_Toc307564859"/>
      <w:bookmarkStart w:id="693" w:name="_Toc19999"/>
      <w:bookmarkStart w:id="694" w:name="_Toc15644"/>
      <w:bookmarkStart w:id="695" w:name="_Toc307501116"/>
      <w:bookmarkStart w:id="696" w:name="_Toc217446067"/>
      <w:bookmarkStart w:id="697" w:name="_Toc30954"/>
      <w:bookmarkStart w:id="698" w:name="_Toc29552"/>
      <w:bookmarkStart w:id="699" w:name="_Toc16143"/>
      <w:bookmarkStart w:id="700" w:name="_Toc327196293"/>
      <w:r>
        <w:rPr>
          <w:rFonts w:hint="eastAsia"/>
          <w:color w:val="auto"/>
          <w:highlight w:val="none"/>
        </w:rPr>
        <w:t>合同转包</w:t>
      </w:r>
      <w:r>
        <w:rPr>
          <w:rFonts w:hint="eastAsia"/>
          <w:color w:val="auto"/>
          <w:highlight w:val="none"/>
          <w:lang w:val="en-US" w:eastAsia="zh-CN"/>
        </w:rPr>
        <w:t>(实质性要求)</w:t>
      </w:r>
      <w:bookmarkEnd w:id="680"/>
      <w:bookmarkEnd w:id="681"/>
      <w:bookmarkEnd w:id="682"/>
      <w:bookmarkEnd w:id="683"/>
    </w:p>
    <w:p>
      <w:pPr>
        <w:pStyle w:val="29"/>
        <w:bidi w:val="0"/>
        <w:rPr>
          <w:rFonts w:hint="eastAsia"/>
          <w:color w:val="auto"/>
          <w:highlight w:val="none"/>
        </w:rPr>
      </w:pPr>
      <w:r>
        <w:rPr>
          <w:rFonts w:hint="eastAsia"/>
          <w:color w:val="auto"/>
          <w:highlight w:val="none"/>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pStyle w:val="29"/>
        <w:bidi w:val="0"/>
        <w:rPr>
          <w:rFonts w:hint="eastAsia"/>
          <w:color w:val="auto"/>
          <w:highlight w:val="none"/>
        </w:rPr>
      </w:pPr>
      <w:r>
        <w:rPr>
          <w:rFonts w:hint="eastAsia"/>
          <w:color w:val="auto"/>
          <w:highlight w:val="none"/>
        </w:rPr>
        <w:t>中标人转包的，视同拒绝履行政府采购合同义务，将依法追究法律责任。</w:t>
      </w:r>
    </w:p>
    <w:p>
      <w:pPr>
        <w:pStyle w:val="27"/>
        <w:numPr>
          <w:ilvl w:val="2"/>
          <w:numId w:val="15"/>
        </w:numPr>
        <w:bidi w:val="0"/>
        <w:rPr>
          <w:rFonts w:hint="eastAsia"/>
          <w:color w:val="auto"/>
          <w:highlight w:val="none"/>
        </w:rPr>
      </w:pPr>
      <w:bookmarkStart w:id="701" w:name="_Toc577"/>
      <w:bookmarkStart w:id="702" w:name="_Toc11992"/>
      <w:bookmarkStart w:id="703" w:name="_Toc9592"/>
      <w:bookmarkStart w:id="704" w:name="_Toc12603"/>
      <w:r>
        <w:rPr>
          <w:rFonts w:hint="eastAsia"/>
          <w:color w:val="auto"/>
          <w:highlight w:val="none"/>
        </w:rPr>
        <w:t>补充合同</w:t>
      </w:r>
      <w:bookmarkEnd w:id="701"/>
      <w:bookmarkEnd w:id="702"/>
      <w:bookmarkEnd w:id="703"/>
      <w:bookmarkEnd w:id="704"/>
    </w:p>
    <w:p>
      <w:pPr>
        <w:pStyle w:val="29"/>
        <w:bidi w:val="0"/>
        <w:rPr>
          <w:rFonts w:hint="eastAsia"/>
          <w:color w:val="auto"/>
          <w:highlight w:val="none"/>
        </w:rPr>
      </w:pPr>
      <w:r>
        <w:rPr>
          <w:rFonts w:hint="eastAsia"/>
          <w:color w:val="auto"/>
          <w:highlight w:val="none"/>
        </w:rPr>
        <w:t>采购合同履行过程中，采购人需要追加与合同标的相同的货物或者服务的，在不改变合同其他条款的前提下，可以与</w:t>
      </w:r>
      <w:r>
        <w:rPr>
          <w:rFonts w:hint="eastAsia"/>
          <w:color w:val="auto"/>
          <w:highlight w:val="none"/>
          <w:lang w:eastAsia="zh-CN"/>
        </w:rPr>
        <w:t>中标人</w:t>
      </w:r>
      <w:r>
        <w:rPr>
          <w:rFonts w:hint="eastAsia"/>
          <w:color w:val="auto"/>
          <w:highlight w:val="none"/>
        </w:rPr>
        <w:t>协商签订补充合同，但所有补充合同的采购金额不得超过原合同采购金额的百分之十，该补充合同应当在原政府采购合同履行过程中，不得在原政府采购合同履行结束后，且采购货物、服务的名称、价格、履约方式、验收标准等必须与原政府采购合同一致。</w:t>
      </w:r>
    </w:p>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Pr>
        <w:pStyle w:val="27"/>
        <w:numPr>
          <w:ilvl w:val="2"/>
          <w:numId w:val="15"/>
        </w:numPr>
        <w:bidi w:val="0"/>
        <w:rPr>
          <w:rFonts w:hint="eastAsia"/>
          <w:color w:val="auto"/>
          <w:highlight w:val="none"/>
        </w:rPr>
      </w:pPr>
      <w:bookmarkStart w:id="705" w:name="_Toc17561"/>
      <w:bookmarkStart w:id="706" w:name="_Toc308164812"/>
      <w:bookmarkStart w:id="707" w:name="_Toc24147"/>
      <w:bookmarkStart w:id="708" w:name="_Toc24237"/>
      <w:bookmarkStart w:id="709" w:name="_Toc31704"/>
      <w:bookmarkStart w:id="710" w:name="_Toc307564860"/>
      <w:bookmarkStart w:id="711" w:name="_Toc308188160"/>
      <w:bookmarkStart w:id="712" w:name="_Toc319439908"/>
      <w:bookmarkStart w:id="713" w:name="_Toc27331"/>
      <w:bookmarkStart w:id="714" w:name="_Toc22746"/>
      <w:bookmarkStart w:id="715" w:name="_Toc319440150"/>
      <w:bookmarkStart w:id="716" w:name="_Toc11533"/>
      <w:bookmarkStart w:id="717" w:name="_Toc309897523"/>
      <w:bookmarkStart w:id="718" w:name="_Toc327196294"/>
      <w:bookmarkStart w:id="719" w:name="_Toc16034"/>
      <w:bookmarkStart w:id="720" w:name="_Toc217446068"/>
      <w:bookmarkStart w:id="721" w:name="_Toc19537"/>
      <w:bookmarkStart w:id="722" w:name="_Toc28404"/>
      <w:bookmarkStart w:id="723" w:name="_Toc307501117"/>
      <w:bookmarkStart w:id="724" w:name="_Toc30856"/>
      <w:bookmarkStart w:id="725" w:name="_Toc308084605"/>
      <w:bookmarkStart w:id="726" w:name="_Toc27686"/>
      <w:r>
        <w:rPr>
          <w:rFonts w:hint="eastAsia"/>
          <w:color w:val="auto"/>
          <w:highlight w:val="none"/>
        </w:rPr>
        <w:t>合同公告</w:t>
      </w:r>
      <w:r>
        <w:rPr>
          <w:rFonts w:hint="eastAsia"/>
          <w:color w:val="auto"/>
          <w:highlight w:val="none"/>
          <w:lang w:val="en-US" w:eastAsia="zh-CN"/>
        </w:rPr>
        <w:t>备案</w:t>
      </w:r>
      <w:bookmarkEnd w:id="705"/>
    </w:p>
    <w:p>
      <w:pPr>
        <w:pStyle w:val="29"/>
        <w:bidi w:val="0"/>
        <w:rPr>
          <w:rFonts w:hint="eastAsia"/>
          <w:color w:val="auto"/>
          <w:highlight w:val="none"/>
        </w:rPr>
      </w:pPr>
      <w:r>
        <w:rPr>
          <w:rFonts w:hint="eastAsia"/>
          <w:color w:val="auto"/>
          <w:highlight w:val="none"/>
        </w:rPr>
        <w:t>采购人应当自政府采购合同签订(双方当事人均已签字盖章)之日起2个工作日内，将政府采购合同在省级以上人民政府财政部门指定的媒体</w:t>
      </w:r>
      <w:r>
        <w:rPr>
          <w:rFonts w:hint="eastAsia"/>
          <w:color w:val="auto"/>
          <w:highlight w:val="none"/>
          <w:lang w:eastAsia="zh-CN"/>
        </w:rPr>
        <w:t>“四川政府采购网”</w:t>
      </w:r>
      <w:r>
        <w:rPr>
          <w:rFonts w:hint="eastAsia"/>
          <w:color w:val="auto"/>
          <w:highlight w:val="none"/>
        </w:rPr>
        <w:t>公告</w:t>
      </w:r>
      <w:r>
        <w:rPr>
          <w:rFonts w:hint="eastAsia"/>
          <w:color w:val="auto"/>
          <w:highlight w:val="none"/>
          <w:lang w:val="en-US" w:eastAsia="zh-CN"/>
        </w:rPr>
        <w:t>(包含联合体协议和分包意向协议，分包意向协议公开仅限于享受了政府采购相关扶持政策的情形)</w:t>
      </w:r>
      <w:r>
        <w:rPr>
          <w:rFonts w:hint="eastAsia"/>
          <w:color w:val="auto"/>
          <w:highlight w:val="none"/>
        </w:rPr>
        <w:t>，但政府采购合同中涉及国家秘密、商业秘密的内容除外。</w:t>
      </w:r>
    </w:p>
    <w:p>
      <w:pPr>
        <w:pStyle w:val="29"/>
        <w:bidi w:val="0"/>
        <w:rPr>
          <w:rFonts w:hint="eastAsia"/>
          <w:color w:val="auto"/>
          <w:highlight w:val="none"/>
          <w:lang w:eastAsia="zh-CN"/>
        </w:rPr>
      </w:pPr>
      <w:r>
        <w:rPr>
          <w:rFonts w:hint="eastAsia"/>
          <w:color w:val="auto"/>
          <w:highlight w:val="none"/>
        </w:rPr>
        <w:t>采购人应当将政府采购合同副本自签订</w:t>
      </w:r>
      <w:r>
        <w:rPr>
          <w:rFonts w:hint="eastAsia"/>
          <w:color w:val="auto"/>
          <w:highlight w:val="none"/>
          <w:lang w:eastAsia="zh-CN"/>
        </w:rPr>
        <w:t>(</w:t>
      </w:r>
      <w:r>
        <w:rPr>
          <w:rFonts w:hint="eastAsia"/>
          <w:color w:val="auto"/>
          <w:highlight w:val="none"/>
        </w:rPr>
        <w:t>双方当事人均已签字盖章</w:t>
      </w:r>
      <w:r>
        <w:rPr>
          <w:rFonts w:hint="eastAsia"/>
          <w:color w:val="auto"/>
          <w:highlight w:val="none"/>
          <w:lang w:eastAsia="zh-CN"/>
        </w:rPr>
        <w:t>)</w:t>
      </w:r>
      <w:r>
        <w:rPr>
          <w:rFonts w:hint="eastAsia"/>
          <w:color w:val="auto"/>
          <w:highlight w:val="none"/>
        </w:rPr>
        <w:t>之日起七个工作日内通过</w:t>
      </w:r>
      <w:r>
        <w:rPr>
          <w:rFonts w:hint="eastAsia"/>
          <w:color w:val="auto"/>
          <w:highlight w:val="none"/>
          <w:lang w:eastAsia="zh-CN"/>
        </w:rPr>
        <w:t>“四川政府采购网”</w:t>
      </w:r>
      <w:r>
        <w:rPr>
          <w:rFonts w:hint="eastAsia"/>
          <w:color w:val="auto"/>
          <w:highlight w:val="none"/>
        </w:rPr>
        <w:t>报同级财政部门备案</w:t>
      </w:r>
      <w:r>
        <w:rPr>
          <w:rFonts w:hint="eastAsia"/>
          <w:color w:val="auto"/>
          <w:highlight w:val="none"/>
          <w:lang w:eastAsia="zh-CN"/>
        </w:rPr>
        <w:t>。</w:t>
      </w:r>
    </w:p>
    <w:p>
      <w:pPr>
        <w:pStyle w:val="27"/>
        <w:numPr>
          <w:ilvl w:val="2"/>
          <w:numId w:val="15"/>
        </w:numPr>
        <w:bidi w:val="0"/>
        <w:rPr>
          <w:rFonts w:hint="eastAsia"/>
          <w:color w:val="auto"/>
          <w:highlight w:val="none"/>
        </w:rPr>
      </w:pPr>
      <w:bookmarkStart w:id="727" w:name="_Toc23607"/>
      <w:r>
        <w:rPr>
          <w:rFonts w:hint="eastAsia"/>
          <w:color w:val="auto"/>
          <w:highlight w:val="none"/>
        </w:rPr>
        <w:t>履约保证金</w:t>
      </w:r>
      <w:bookmarkEnd w:id="706"/>
      <w:r>
        <w:rPr>
          <w:rFonts w:hint="eastAsia"/>
          <w:color w:val="auto"/>
          <w:highlight w:val="none"/>
          <w:lang w:val="en-US" w:eastAsia="zh-CN"/>
        </w:rPr>
        <w:t>(实质性要求)</w:t>
      </w:r>
      <w:bookmarkEnd w:id="707"/>
      <w:bookmarkEnd w:id="708"/>
      <w:bookmarkEnd w:id="709"/>
      <w:bookmarkEnd w:id="727"/>
    </w:p>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Pr>
        <w:pStyle w:val="28"/>
        <w:numPr>
          <w:ilvl w:val="3"/>
          <w:numId w:val="0"/>
        </w:numPr>
        <w:bidi w:val="0"/>
        <w:ind w:leftChars="200"/>
        <w:rPr>
          <w:rFonts w:hint="eastAsia"/>
          <w:color w:val="auto"/>
          <w:highlight w:val="none"/>
        </w:rPr>
      </w:pPr>
      <w:bookmarkStart w:id="728" w:name="_Toc15310"/>
      <w:bookmarkStart w:id="729" w:name="_Toc13194"/>
      <w:bookmarkStart w:id="730" w:name="_Toc29503"/>
      <w:bookmarkStart w:id="731" w:name="_Toc217446070"/>
      <w:bookmarkStart w:id="732" w:name="_Toc9916"/>
      <w:bookmarkStart w:id="733" w:name="_Toc307501119"/>
      <w:bookmarkStart w:id="734" w:name="_Toc319440152"/>
      <w:bookmarkStart w:id="735" w:name="_Toc327196296"/>
      <w:bookmarkStart w:id="736" w:name="_Toc308188162"/>
      <w:bookmarkStart w:id="737" w:name="_Toc307564862"/>
      <w:bookmarkStart w:id="738" w:name="_Toc18547"/>
      <w:bookmarkStart w:id="739" w:name="_Toc319439910"/>
      <w:bookmarkStart w:id="740" w:name="_Toc17018"/>
      <w:bookmarkStart w:id="741" w:name="_Toc27114"/>
      <w:bookmarkStart w:id="742" w:name="_Toc5754"/>
      <w:bookmarkStart w:id="743" w:name="_Toc308084607"/>
      <w:bookmarkStart w:id="744" w:name="_Toc27872"/>
      <w:bookmarkStart w:id="745" w:name="_Toc309897525"/>
      <w:bookmarkStart w:id="746" w:name="_Toc15219"/>
      <w:bookmarkStart w:id="747" w:name="_Toc9815"/>
      <w:r>
        <w:rPr>
          <w:rFonts w:hint="eastAsia"/>
          <w:color w:val="auto"/>
          <w:highlight w:val="none"/>
          <w:lang w:val="en-US" w:eastAsia="zh-CN"/>
        </w:rPr>
        <w:t>详见招标文件第六章</w:t>
      </w:r>
      <w:r>
        <w:rPr>
          <w:rFonts w:hint="eastAsia"/>
          <w:color w:val="auto"/>
          <w:highlight w:val="none"/>
        </w:rPr>
        <w:t>。</w:t>
      </w:r>
    </w:p>
    <w:p>
      <w:pPr>
        <w:pStyle w:val="27"/>
        <w:numPr>
          <w:ilvl w:val="2"/>
          <w:numId w:val="15"/>
        </w:numPr>
        <w:bidi w:val="0"/>
        <w:rPr>
          <w:rFonts w:hint="eastAsia"/>
          <w:color w:val="auto"/>
          <w:highlight w:val="none"/>
        </w:rPr>
      </w:pPr>
      <w:bookmarkStart w:id="748" w:name="_Toc28510"/>
      <w:r>
        <w:rPr>
          <w:rFonts w:hint="eastAsia"/>
          <w:color w:val="auto"/>
          <w:highlight w:val="none"/>
        </w:rPr>
        <w:t>履行合同</w:t>
      </w:r>
      <w:bookmarkEnd w:id="728"/>
      <w:bookmarkEnd w:id="729"/>
      <w:bookmarkEnd w:id="730"/>
      <w:bookmarkEnd w:id="748"/>
    </w:p>
    <w:p>
      <w:pPr>
        <w:pStyle w:val="28"/>
        <w:bidi w:val="0"/>
        <w:rPr>
          <w:color w:val="auto"/>
          <w:highlight w:val="none"/>
        </w:rPr>
      </w:pPr>
      <w:bookmarkStart w:id="749" w:name="_Toc12435"/>
      <w:bookmarkStart w:id="750" w:name="_Toc31"/>
      <w:r>
        <w:rPr>
          <w:rFonts w:hint="eastAsia"/>
          <w:color w:val="auto"/>
          <w:highlight w:val="none"/>
        </w:rPr>
        <w:t>采购人与中标人应当根据合同的约定依法履行合同义务。</w:t>
      </w:r>
    </w:p>
    <w:p>
      <w:pPr>
        <w:pStyle w:val="28"/>
        <w:bidi w:val="0"/>
        <w:rPr>
          <w:rFonts w:hint="eastAsia"/>
          <w:color w:val="auto"/>
          <w:highlight w:val="none"/>
          <w:lang w:eastAsia="zh-CN"/>
        </w:rPr>
      </w:pPr>
      <w:r>
        <w:rPr>
          <w:rFonts w:hint="eastAsia"/>
          <w:color w:val="auto"/>
          <w:highlight w:val="none"/>
        </w:rPr>
        <w:t>政府采购合同的履行、违约责任和解决争议的方法等适用</w:t>
      </w:r>
      <w:r>
        <w:rPr>
          <w:rFonts w:hint="eastAsia"/>
          <w:color w:val="auto"/>
          <w:highlight w:val="none"/>
          <w:lang w:eastAsia="zh-CN"/>
        </w:rPr>
        <w:t>《中华人民共和国民法典》。</w:t>
      </w:r>
    </w:p>
    <w:p>
      <w:pPr>
        <w:pStyle w:val="27"/>
        <w:numPr>
          <w:ilvl w:val="2"/>
          <w:numId w:val="15"/>
        </w:numPr>
        <w:bidi w:val="0"/>
        <w:rPr>
          <w:rFonts w:hint="eastAsia"/>
          <w:color w:val="auto"/>
          <w:highlight w:val="none"/>
        </w:rPr>
      </w:pPr>
      <w:bookmarkStart w:id="751" w:name="_Toc1555"/>
      <w:bookmarkStart w:id="752" w:name="_Toc22276"/>
      <w:r>
        <w:rPr>
          <w:rFonts w:hint="eastAsia"/>
          <w:color w:val="auto"/>
          <w:highlight w:val="none"/>
        </w:rPr>
        <w:t>验收</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9"/>
      <w:bookmarkEnd w:id="750"/>
      <w:bookmarkEnd w:id="751"/>
      <w:bookmarkEnd w:id="752"/>
    </w:p>
    <w:bookmarkEnd w:id="636"/>
    <w:bookmarkEnd w:id="637"/>
    <w:p>
      <w:pPr>
        <w:pStyle w:val="28"/>
        <w:numPr>
          <w:ilvl w:val="3"/>
          <w:numId w:val="0"/>
        </w:numPr>
        <w:bidi w:val="0"/>
        <w:ind w:leftChars="200"/>
        <w:rPr>
          <w:rFonts w:hint="eastAsia"/>
          <w:color w:val="auto"/>
          <w:highlight w:val="none"/>
        </w:rPr>
      </w:pPr>
      <w:bookmarkStart w:id="753" w:name="_Toc217446071"/>
      <w:bookmarkStart w:id="754" w:name="_Toc308164818"/>
      <w:bookmarkStart w:id="755" w:name="_Toc3266"/>
      <w:bookmarkStart w:id="756" w:name="_Toc16716"/>
      <w:bookmarkStart w:id="757" w:name="_Toc17896"/>
      <w:bookmarkStart w:id="758" w:name="_Toc327196297"/>
      <w:bookmarkStart w:id="759" w:name="_Toc16219"/>
      <w:bookmarkStart w:id="760" w:name="_Toc217446074"/>
      <w:bookmarkStart w:id="761" w:name="_Toc183682380"/>
      <w:bookmarkStart w:id="762" w:name="_Toc183582243"/>
      <w:r>
        <w:rPr>
          <w:rFonts w:hint="eastAsia"/>
          <w:color w:val="auto"/>
          <w:highlight w:val="none"/>
          <w:lang w:val="en-US" w:eastAsia="zh-CN"/>
        </w:rPr>
        <w:t>详见招标文件第六章</w:t>
      </w:r>
      <w:r>
        <w:rPr>
          <w:rFonts w:hint="eastAsia"/>
          <w:color w:val="auto"/>
          <w:highlight w:val="none"/>
        </w:rPr>
        <w:t>。</w:t>
      </w:r>
    </w:p>
    <w:bookmarkEnd w:id="753"/>
    <w:p>
      <w:pPr>
        <w:pStyle w:val="27"/>
        <w:numPr>
          <w:ilvl w:val="2"/>
          <w:numId w:val="15"/>
        </w:numPr>
        <w:bidi w:val="0"/>
        <w:rPr>
          <w:rFonts w:hint="eastAsia"/>
          <w:color w:val="auto"/>
          <w:highlight w:val="none"/>
        </w:rPr>
      </w:pPr>
      <w:bookmarkStart w:id="763" w:name="_Toc30438"/>
      <w:r>
        <w:rPr>
          <w:rFonts w:hint="eastAsia"/>
          <w:color w:val="auto"/>
          <w:highlight w:val="none"/>
        </w:rPr>
        <w:t>资金支付</w:t>
      </w:r>
      <w:bookmarkEnd w:id="754"/>
      <w:r>
        <w:rPr>
          <w:rFonts w:hint="eastAsia"/>
          <w:color w:val="auto"/>
          <w:highlight w:val="none"/>
          <w:lang w:val="en-US" w:eastAsia="zh-CN"/>
        </w:rPr>
        <w:t>方式、时间、条件</w:t>
      </w:r>
      <w:bookmarkEnd w:id="755"/>
      <w:bookmarkEnd w:id="756"/>
      <w:bookmarkEnd w:id="757"/>
      <w:bookmarkEnd w:id="763"/>
    </w:p>
    <w:p>
      <w:pPr>
        <w:pStyle w:val="28"/>
        <w:bidi w:val="0"/>
        <w:rPr>
          <w:rFonts w:hint="eastAsia"/>
          <w:color w:val="auto"/>
          <w:highlight w:val="none"/>
        </w:rPr>
      </w:pPr>
      <w:r>
        <w:rPr>
          <w:rFonts w:hint="eastAsia"/>
          <w:color w:val="auto"/>
          <w:highlight w:val="none"/>
        </w:rPr>
        <w:t>采购资金的支付方式：采购人将按照政府采购合同规定，及时向</w:t>
      </w:r>
      <w:r>
        <w:rPr>
          <w:rFonts w:hint="eastAsia"/>
          <w:color w:val="auto"/>
          <w:highlight w:val="none"/>
          <w:lang w:eastAsia="zh-CN"/>
        </w:rPr>
        <w:t>中标人</w:t>
      </w:r>
      <w:r>
        <w:rPr>
          <w:rFonts w:hint="eastAsia"/>
          <w:color w:val="auto"/>
          <w:highlight w:val="none"/>
        </w:rPr>
        <w:t>以银行转账方式支付采购资金。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pPr>
        <w:pStyle w:val="28"/>
        <w:bidi w:val="0"/>
        <w:rPr>
          <w:rFonts w:hint="eastAsia"/>
          <w:color w:val="auto"/>
          <w:highlight w:val="none"/>
        </w:rPr>
      </w:pPr>
      <w:r>
        <w:rPr>
          <w:rFonts w:hint="eastAsia"/>
          <w:color w:val="auto"/>
          <w:highlight w:val="none"/>
        </w:rPr>
        <w:t>采购资金的支付时间：</w:t>
      </w:r>
      <w:r>
        <w:rPr>
          <w:rFonts w:hint="eastAsia"/>
          <w:color w:val="auto"/>
          <w:highlight w:val="none"/>
          <w:lang w:val="en-US" w:eastAsia="zh-CN"/>
        </w:rPr>
        <w:t>详见招标文件第六章</w:t>
      </w:r>
      <w:r>
        <w:rPr>
          <w:rFonts w:hint="eastAsia"/>
          <w:color w:val="auto"/>
          <w:highlight w:val="none"/>
          <w:lang w:eastAsia="zh-CN"/>
        </w:rPr>
        <w:t>。</w:t>
      </w:r>
    </w:p>
    <w:p>
      <w:pPr>
        <w:pStyle w:val="28"/>
        <w:bidi w:val="0"/>
        <w:rPr>
          <w:rFonts w:hint="eastAsia"/>
          <w:color w:val="auto"/>
          <w:highlight w:val="none"/>
        </w:rPr>
      </w:pPr>
      <w:r>
        <w:rPr>
          <w:rFonts w:hint="eastAsia"/>
          <w:color w:val="auto"/>
          <w:highlight w:val="none"/>
        </w:rPr>
        <w:t>采购资金的支付条件：</w:t>
      </w:r>
      <w:r>
        <w:rPr>
          <w:rFonts w:hint="eastAsia"/>
          <w:color w:val="auto"/>
          <w:highlight w:val="none"/>
          <w:lang w:val="en-US" w:eastAsia="zh-CN"/>
        </w:rPr>
        <w:t>详见招标文件第六章</w:t>
      </w:r>
      <w:r>
        <w:rPr>
          <w:rFonts w:hint="eastAsia"/>
          <w:color w:val="auto"/>
          <w:highlight w:val="none"/>
          <w:lang w:eastAsia="zh-CN"/>
        </w:rPr>
        <w:t>。</w:t>
      </w:r>
    </w:p>
    <w:p>
      <w:pPr>
        <w:pStyle w:val="47"/>
        <w:bidi w:val="0"/>
        <w:rPr>
          <w:rFonts w:hint="eastAsia"/>
          <w:color w:val="auto"/>
          <w:highlight w:val="none"/>
        </w:rPr>
      </w:pPr>
      <w:bookmarkStart w:id="764" w:name="_Toc21835"/>
      <w:bookmarkStart w:id="765" w:name="_Toc15972"/>
      <w:bookmarkStart w:id="766" w:name="_Toc27770"/>
      <w:bookmarkStart w:id="767" w:name="_Toc3955"/>
      <w:r>
        <w:rPr>
          <w:rFonts w:hint="eastAsia"/>
          <w:color w:val="auto"/>
          <w:highlight w:val="none"/>
        </w:rPr>
        <w:t>投标纪律要求</w:t>
      </w:r>
      <w:bookmarkEnd w:id="758"/>
      <w:bookmarkEnd w:id="759"/>
      <w:bookmarkEnd w:id="760"/>
      <w:bookmarkEnd w:id="764"/>
      <w:bookmarkEnd w:id="765"/>
      <w:bookmarkEnd w:id="766"/>
      <w:bookmarkEnd w:id="767"/>
    </w:p>
    <w:p>
      <w:pPr>
        <w:pStyle w:val="29"/>
        <w:bidi w:val="0"/>
        <w:rPr>
          <w:rFonts w:hint="eastAsia" w:eastAsia="宋体"/>
          <w:color w:val="auto"/>
          <w:highlight w:val="none"/>
          <w:lang w:eastAsia="zh-CN"/>
        </w:rPr>
      </w:pPr>
      <w:bookmarkStart w:id="768" w:name="_Toc6284"/>
      <w:bookmarkStart w:id="769" w:name="_Toc21018"/>
      <w:bookmarkStart w:id="770" w:name="_Toc17887"/>
      <w:bookmarkStart w:id="771" w:name="_Toc307564864"/>
      <w:bookmarkStart w:id="772" w:name="_Toc10754"/>
      <w:bookmarkStart w:id="773" w:name="_Toc30964"/>
      <w:bookmarkStart w:id="774" w:name="_Toc327196298"/>
      <w:bookmarkStart w:id="775" w:name="_Toc20490"/>
      <w:bookmarkStart w:id="776" w:name="_Toc307501121"/>
      <w:bookmarkStart w:id="777" w:name="_Toc31498"/>
      <w:bookmarkStart w:id="778" w:name="_Toc5014"/>
      <w:bookmarkStart w:id="779" w:name="_Toc308188164"/>
      <w:bookmarkStart w:id="780" w:name="_Toc319440154"/>
      <w:bookmarkStart w:id="781" w:name="_Toc11074"/>
      <w:bookmarkStart w:id="782" w:name="_Toc27399"/>
      <w:bookmarkStart w:id="783" w:name="_Toc217446075"/>
      <w:bookmarkStart w:id="784" w:name="_Toc319439912"/>
      <w:bookmarkStart w:id="785" w:name="_Toc308084609"/>
      <w:bookmarkStart w:id="786" w:name="_Toc1828"/>
      <w:bookmarkStart w:id="787" w:name="_Toc309897527"/>
      <w:r>
        <w:rPr>
          <w:rFonts w:hint="eastAsia"/>
          <w:color w:val="auto"/>
          <w:highlight w:val="none"/>
        </w:rPr>
        <w:t>投标人不得具有的情形</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Pr>
          <w:rFonts w:hint="eastAsia"/>
          <w:color w:val="auto"/>
          <w:highlight w:val="none"/>
          <w:lang w:eastAsia="zh-CN"/>
        </w:rPr>
        <w:t>：</w:t>
      </w:r>
    </w:p>
    <w:p>
      <w:pPr>
        <w:pStyle w:val="38"/>
        <w:numPr>
          <w:ilvl w:val="1"/>
          <w:numId w:val="16"/>
        </w:numPr>
        <w:bidi w:val="0"/>
        <w:rPr>
          <w:rFonts w:hint="eastAsia"/>
          <w:color w:val="auto"/>
          <w:highlight w:val="none"/>
        </w:rPr>
      </w:pPr>
      <w:r>
        <w:rPr>
          <w:rFonts w:hint="eastAsia"/>
          <w:color w:val="auto"/>
          <w:highlight w:val="none"/>
        </w:rPr>
        <w:t>提供虚假材料谋取中标；</w:t>
      </w:r>
    </w:p>
    <w:p>
      <w:pPr>
        <w:pStyle w:val="38"/>
        <w:numPr>
          <w:ilvl w:val="1"/>
          <w:numId w:val="16"/>
        </w:numPr>
        <w:bidi w:val="0"/>
        <w:rPr>
          <w:rFonts w:hint="eastAsia"/>
          <w:color w:val="auto"/>
          <w:highlight w:val="none"/>
        </w:rPr>
      </w:pPr>
      <w:r>
        <w:rPr>
          <w:rFonts w:hint="eastAsia"/>
          <w:color w:val="auto"/>
          <w:highlight w:val="none"/>
        </w:rPr>
        <w:t>采取不正当手段诋毁、排挤其他投标人；</w:t>
      </w:r>
    </w:p>
    <w:p>
      <w:pPr>
        <w:pStyle w:val="38"/>
        <w:numPr>
          <w:ilvl w:val="1"/>
          <w:numId w:val="16"/>
        </w:numPr>
        <w:bidi w:val="0"/>
        <w:rPr>
          <w:rFonts w:hint="eastAsia"/>
          <w:color w:val="auto"/>
          <w:highlight w:val="none"/>
        </w:rPr>
      </w:pPr>
      <w:r>
        <w:rPr>
          <w:rFonts w:hint="eastAsia"/>
          <w:color w:val="auto"/>
          <w:highlight w:val="none"/>
        </w:rPr>
        <w:t>与招标采购单位、其他投标人恶意串通；</w:t>
      </w:r>
    </w:p>
    <w:p>
      <w:pPr>
        <w:pStyle w:val="38"/>
        <w:numPr>
          <w:ilvl w:val="1"/>
          <w:numId w:val="16"/>
        </w:numPr>
        <w:bidi w:val="0"/>
        <w:rPr>
          <w:rFonts w:hint="eastAsia"/>
          <w:color w:val="auto"/>
          <w:highlight w:val="none"/>
        </w:rPr>
      </w:pPr>
      <w:r>
        <w:rPr>
          <w:rFonts w:hint="eastAsia"/>
          <w:color w:val="auto"/>
          <w:highlight w:val="none"/>
        </w:rPr>
        <w:t>向招标采购单位、评标委员会成员行贿或者提供其他不正当利益；</w:t>
      </w:r>
    </w:p>
    <w:p>
      <w:pPr>
        <w:pStyle w:val="38"/>
        <w:numPr>
          <w:ilvl w:val="1"/>
          <w:numId w:val="16"/>
        </w:numPr>
        <w:bidi w:val="0"/>
        <w:rPr>
          <w:rFonts w:hint="eastAsia"/>
          <w:color w:val="auto"/>
          <w:highlight w:val="none"/>
        </w:rPr>
      </w:pPr>
      <w:r>
        <w:rPr>
          <w:rFonts w:hint="eastAsia"/>
          <w:color w:val="auto"/>
          <w:highlight w:val="none"/>
        </w:rPr>
        <w:t>在招标过程中与招标采购单位进行协商谈判；</w:t>
      </w:r>
    </w:p>
    <w:p>
      <w:pPr>
        <w:pStyle w:val="38"/>
        <w:numPr>
          <w:ilvl w:val="1"/>
          <w:numId w:val="16"/>
        </w:numPr>
        <w:bidi w:val="0"/>
        <w:rPr>
          <w:rFonts w:hint="eastAsia"/>
          <w:color w:val="auto"/>
          <w:highlight w:val="none"/>
        </w:rPr>
      </w:pPr>
      <w:r>
        <w:rPr>
          <w:rFonts w:hint="eastAsia"/>
          <w:color w:val="auto"/>
          <w:highlight w:val="none"/>
        </w:rPr>
        <w:t>中标或者成交后无正当理由拒不与采购人签订政府采购合同；</w:t>
      </w:r>
    </w:p>
    <w:p>
      <w:pPr>
        <w:pStyle w:val="38"/>
        <w:numPr>
          <w:ilvl w:val="1"/>
          <w:numId w:val="16"/>
        </w:numPr>
        <w:bidi w:val="0"/>
        <w:rPr>
          <w:rFonts w:hint="eastAsia"/>
          <w:color w:val="auto"/>
          <w:highlight w:val="none"/>
        </w:rPr>
      </w:pPr>
      <w:r>
        <w:rPr>
          <w:rFonts w:hint="eastAsia"/>
          <w:color w:val="auto"/>
          <w:highlight w:val="none"/>
        </w:rPr>
        <w:t>未按照采购文件确定的事项签订政府采购合同；</w:t>
      </w:r>
    </w:p>
    <w:p>
      <w:pPr>
        <w:pStyle w:val="38"/>
        <w:numPr>
          <w:ilvl w:val="1"/>
          <w:numId w:val="16"/>
        </w:numPr>
        <w:bidi w:val="0"/>
        <w:rPr>
          <w:rFonts w:hint="eastAsia"/>
          <w:color w:val="auto"/>
          <w:highlight w:val="none"/>
        </w:rPr>
      </w:pPr>
      <w:r>
        <w:rPr>
          <w:rFonts w:hint="eastAsia"/>
          <w:color w:val="auto"/>
          <w:highlight w:val="none"/>
        </w:rPr>
        <w:t>将政府采购合同转包或者违规分包；</w:t>
      </w:r>
    </w:p>
    <w:p>
      <w:pPr>
        <w:pStyle w:val="38"/>
        <w:numPr>
          <w:ilvl w:val="1"/>
          <w:numId w:val="16"/>
        </w:numPr>
        <w:bidi w:val="0"/>
        <w:rPr>
          <w:rFonts w:hint="eastAsia"/>
          <w:color w:val="auto"/>
          <w:highlight w:val="none"/>
        </w:rPr>
      </w:pPr>
      <w:r>
        <w:rPr>
          <w:rFonts w:hint="eastAsia"/>
          <w:color w:val="auto"/>
          <w:highlight w:val="none"/>
        </w:rPr>
        <w:t>提供假冒伪劣产品；</w:t>
      </w:r>
    </w:p>
    <w:p>
      <w:pPr>
        <w:pStyle w:val="38"/>
        <w:numPr>
          <w:ilvl w:val="1"/>
          <w:numId w:val="16"/>
        </w:numPr>
        <w:bidi w:val="0"/>
        <w:rPr>
          <w:rFonts w:hint="eastAsia"/>
          <w:color w:val="auto"/>
          <w:highlight w:val="none"/>
        </w:rPr>
      </w:pPr>
      <w:r>
        <w:rPr>
          <w:rFonts w:hint="eastAsia"/>
          <w:color w:val="auto"/>
          <w:highlight w:val="none"/>
        </w:rPr>
        <w:t>擅自变更、中止或者终止政府采购合同；</w:t>
      </w:r>
    </w:p>
    <w:p>
      <w:pPr>
        <w:pStyle w:val="38"/>
        <w:numPr>
          <w:ilvl w:val="1"/>
          <w:numId w:val="16"/>
        </w:numPr>
        <w:bidi w:val="0"/>
        <w:rPr>
          <w:rFonts w:hint="eastAsia"/>
          <w:color w:val="auto"/>
          <w:highlight w:val="none"/>
        </w:rPr>
      </w:pPr>
      <w:r>
        <w:rPr>
          <w:rFonts w:hint="eastAsia"/>
          <w:color w:val="auto"/>
          <w:highlight w:val="none"/>
        </w:rPr>
        <w:t>拒绝有关部门的监督检查或者向监督检查部门提供虚假情况；</w:t>
      </w:r>
    </w:p>
    <w:p>
      <w:pPr>
        <w:pStyle w:val="38"/>
        <w:numPr>
          <w:ilvl w:val="1"/>
          <w:numId w:val="16"/>
        </w:numPr>
        <w:bidi w:val="0"/>
        <w:rPr>
          <w:rFonts w:hint="eastAsia"/>
          <w:color w:val="auto"/>
          <w:highlight w:val="none"/>
        </w:rPr>
      </w:pPr>
      <w:r>
        <w:rPr>
          <w:rFonts w:hint="eastAsia"/>
          <w:color w:val="auto"/>
          <w:highlight w:val="none"/>
        </w:rPr>
        <w:t>法律法规规定的其他情形。</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bookmarkStart w:id="788" w:name="_Toc217446078"/>
      <w:bookmarkStart w:id="789" w:name="_Toc20327"/>
      <w:bookmarkStart w:id="790" w:name="_Toc525"/>
      <w:bookmarkStart w:id="791" w:name="_Toc8765"/>
      <w:r>
        <w:rPr>
          <w:rFonts w:hint="eastAsia"/>
          <w:color w:val="auto"/>
          <w:highlight w:val="none"/>
        </w:rPr>
        <w:t>投标人有上述情形的，按照规定追究法律责任，具备</w:t>
      </w:r>
      <w:r>
        <w:rPr>
          <w:rFonts w:hint="eastAsia"/>
          <w:color w:val="auto"/>
          <w:highlight w:val="none"/>
          <w:lang w:val="en-US" w:eastAsia="zh-CN"/>
        </w:rPr>
        <w:t>(一)～(十)</w:t>
      </w:r>
      <w:r>
        <w:rPr>
          <w:rFonts w:hint="eastAsia"/>
          <w:color w:val="auto"/>
          <w:highlight w:val="none"/>
        </w:rPr>
        <w:t>条情形之一的，同时将取消中标资格或者认定中标无效。</w:t>
      </w:r>
    </w:p>
    <w:bookmarkEnd w:id="761"/>
    <w:bookmarkEnd w:id="762"/>
    <w:bookmarkEnd w:id="788"/>
    <w:bookmarkEnd w:id="789"/>
    <w:bookmarkEnd w:id="790"/>
    <w:bookmarkEnd w:id="791"/>
    <w:p>
      <w:pPr>
        <w:pStyle w:val="47"/>
        <w:bidi w:val="0"/>
        <w:rPr>
          <w:rFonts w:hint="eastAsia"/>
          <w:color w:val="auto"/>
          <w:highlight w:val="none"/>
        </w:rPr>
      </w:pPr>
      <w:bookmarkStart w:id="792" w:name="_Toc30829"/>
      <w:bookmarkStart w:id="793" w:name="_Toc24434"/>
      <w:bookmarkStart w:id="794" w:name="_Toc1652"/>
      <w:bookmarkStart w:id="795" w:name="_Toc24165"/>
      <w:bookmarkStart w:id="796" w:name="_Toc9092"/>
      <w:bookmarkStart w:id="797" w:name="_Toc414"/>
      <w:bookmarkStart w:id="798" w:name="_Toc12421"/>
      <w:bookmarkStart w:id="799" w:name="_Toc21424"/>
      <w:bookmarkStart w:id="800" w:name="_Toc327196301"/>
      <w:bookmarkStart w:id="801" w:name="_Toc5589"/>
      <w:r>
        <w:rPr>
          <w:rFonts w:hint="eastAsia"/>
          <w:color w:val="auto"/>
          <w:highlight w:val="none"/>
          <w:lang w:val="en-US" w:eastAsia="zh-CN"/>
        </w:rPr>
        <w:t>其他</w:t>
      </w:r>
      <w:bookmarkEnd w:id="792"/>
    </w:p>
    <w:p>
      <w:pPr>
        <w:pStyle w:val="27"/>
        <w:numPr>
          <w:ilvl w:val="2"/>
          <w:numId w:val="17"/>
        </w:numPr>
        <w:bidi w:val="0"/>
        <w:rPr>
          <w:rFonts w:hint="eastAsia"/>
          <w:color w:val="auto"/>
          <w:highlight w:val="none"/>
        </w:rPr>
      </w:pPr>
      <w:bookmarkStart w:id="802" w:name="_Toc8516"/>
      <w:r>
        <w:rPr>
          <w:rFonts w:hint="eastAsia"/>
          <w:color w:val="auto"/>
          <w:highlight w:val="none"/>
        </w:rPr>
        <w:t>询问</w:t>
      </w:r>
      <w:bookmarkEnd w:id="793"/>
      <w:bookmarkEnd w:id="794"/>
      <w:bookmarkEnd w:id="795"/>
      <w:bookmarkEnd w:id="796"/>
      <w:bookmarkEnd w:id="797"/>
      <w:bookmarkEnd w:id="798"/>
      <w:r>
        <w:rPr>
          <w:rFonts w:hint="eastAsia"/>
          <w:color w:val="auto"/>
          <w:highlight w:val="none"/>
          <w:lang w:eastAsia="zh-CN"/>
        </w:rPr>
        <w:t>、</w:t>
      </w:r>
      <w:r>
        <w:rPr>
          <w:rFonts w:hint="eastAsia"/>
          <w:color w:val="auto"/>
          <w:highlight w:val="none"/>
          <w:lang w:val="en-US" w:eastAsia="zh-CN"/>
        </w:rPr>
        <w:t>质疑和投诉</w:t>
      </w:r>
      <w:bookmarkEnd w:id="802"/>
    </w:p>
    <w:bookmarkEnd w:id="799"/>
    <w:bookmarkEnd w:id="800"/>
    <w:p>
      <w:pPr>
        <w:pStyle w:val="29"/>
        <w:keepNext w:val="0"/>
        <w:keepLines w:val="0"/>
        <w:pageBreakBefore w:val="0"/>
        <w:widowControl w:val="0"/>
        <w:kinsoku/>
        <w:wordWrap w:val="0"/>
        <w:overflowPunct/>
        <w:topLinePunct/>
        <w:autoSpaceDE/>
        <w:autoSpaceDN/>
        <w:bidi w:val="0"/>
        <w:adjustRightInd w:val="0"/>
        <w:snapToGrid w:val="0"/>
        <w:ind w:left="0" w:leftChars="0" w:firstLine="480" w:firstLineChars="200"/>
        <w:jc w:val="left"/>
        <w:textAlignment w:val="auto"/>
        <w:rPr>
          <w:rFonts w:hint="eastAsia"/>
          <w:color w:val="auto"/>
          <w:highlight w:val="none"/>
        </w:rPr>
      </w:pPr>
      <w:r>
        <w:rPr>
          <w:rFonts w:hint="eastAsia"/>
          <w:color w:val="auto"/>
          <w:highlight w:val="none"/>
          <w:lang w:val="en-US" w:eastAsia="zh-CN"/>
        </w:rPr>
        <w:t>具体详见投标人须知前附表</w:t>
      </w:r>
      <w:r>
        <w:rPr>
          <w:rFonts w:hint="eastAsia"/>
          <w:color w:val="auto"/>
          <w:highlight w:val="none"/>
        </w:rPr>
        <w:t>。</w:t>
      </w:r>
    </w:p>
    <w:p>
      <w:pPr>
        <w:pStyle w:val="27"/>
        <w:numPr>
          <w:ilvl w:val="2"/>
          <w:numId w:val="17"/>
        </w:numPr>
        <w:bidi w:val="0"/>
        <w:rPr>
          <w:rFonts w:hint="eastAsia"/>
          <w:color w:val="auto"/>
          <w:highlight w:val="none"/>
        </w:rPr>
      </w:pPr>
      <w:bookmarkStart w:id="803" w:name="_Toc18555"/>
      <w:bookmarkStart w:id="804" w:name="_Toc27417"/>
      <w:bookmarkStart w:id="805" w:name="_Toc8852"/>
      <w:bookmarkStart w:id="806" w:name="_Toc22454"/>
      <w:bookmarkStart w:id="807" w:name="_Toc11575"/>
      <w:r>
        <w:rPr>
          <w:rFonts w:hint="eastAsia"/>
          <w:color w:val="auto"/>
          <w:highlight w:val="none"/>
        </w:rPr>
        <w:t>关于行贿犯罪档案查询工作的规定</w:t>
      </w:r>
      <w:bookmarkEnd w:id="803"/>
      <w:bookmarkEnd w:id="804"/>
      <w:bookmarkEnd w:id="805"/>
      <w:bookmarkEnd w:id="806"/>
      <w:bookmarkEnd w:id="807"/>
    </w:p>
    <w:p>
      <w:pPr>
        <w:pStyle w:val="29"/>
        <w:bidi w:val="0"/>
        <w:rPr>
          <w:rFonts w:hint="eastAsia"/>
          <w:color w:val="auto"/>
          <w:highlight w:val="none"/>
          <w:lang w:val="en-US"/>
        </w:rPr>
      </w:pPr>
      <w:bookmarkStart w:id="808" w:name="_Toc24870"/>
      <w:bookmarkStart w:id="809" w:name="_Toc25217"/>
      <w:r>
        <w:rPr>
          <w:rFonts w:hint="eastAsia"/>
          <w:color w:val="auto"/>
          <w:highlight w:val="none"/>
          <w:lang w:val="en-US" w:eastAsia="zh-CN"/>
        </w:rPr>
        <w:t>因国家检察机关职务犯罪侦查部门转隶工作已经完成，供应商参与采购活动时须按照采购文件要求提供承诺函或由</w:t>
      </w:r>
      <w:r>
        <w:rPr>
          <w:rFonts w:hint="eastAsia"/>
          <w:color w:val="auto"/>
          <w:highlight w:val="none"/>
        </w:rPr>
        <w:t>采购代理机构通过</w:t>
      </w:r>
      <w:r>
        <w:rPr>
          <w:rFonts w:hint="eastAsia"/>
          <w:color w:val="auto"/>
          <w:highlight w:val="none"/>
          <w:lang w:val="en-US" w:eastAsia="zh-CN"/>
        </w:rPr>
        <w:t>“中国裁判文书网”查询</w:t>
      </w:r>
      <w:r>
        <w:rPr>
          <w:rFonts w:hint="eastAsia"/>
          <w:color w:val="auto"/>
          <w:highlight w:val="none"/>
        </w:rPr>
        <w:t>，并将查询记录存档</w:t>
      </w:r>
      <w:r>
        <w:rPr>
          <w:rFonts w:hint="eastAsia"/>
          <w:color w:val="auto"/>
          <w:highlight w:val="none"/>
          <w:lang w:val="en-US" w:eastAsia="zh-CN"/>
        </w:rPr>
        <w:t>。</w:t>
      </w:r>
    </w:p>
    <w:p>
      <w:pPr>
        <w:pStyle w:val="27"/>
        <w:numPr>
          <w:ilvl w:val="2"/>
          <w:numId w:val="17"/>
        </w:numPr>
        <w:bidi w:val="0"/>
        <w:rPr>
          <w:rFonts w:hint="eastAsia"/>
          <w:color w:val="auto"/>
          <w:highlight w:val="none"/>
          <w:lang w:val="en-US" w:eastAsia="zh-CN"/>
        </w:rPr>
      </w:pPr>
      <w:bookmarkStart w:id="810" w:name="_Toc9292"/>
      <w:bookmarkStart w:id="811" w:name="_Toc28559"/>
      <w:r>
        <w:rPr>
          <w:rFonts w:hint="eastAsia"/>
          <w:color w:val="auto"/>
          <w:highlight w:val="none"/>
          <w:lang w:val="en-US" w:eastAsia="zh-CN"/>
        </w:rPr>
        <w:t>串通投标的情形</w:t>
      </w:r>
      <w:bookmarkEnd w:id="808"/>
      <w:bookmarkEnd w:id="809"/>
      <w:bookmarkEnd w:id="810"/>
      <w:bookmarkEnd w:id="811"/>
    </w:p>
    <w:p>
      <w:pPr>
        <w:pStyle w:val="29"/>
        <w:bidi w:val="0"/>
        <w:rPr>
          <w:rFonts w:hint="eastAsia"/>
          <w:color w:val="auto"/>
          <w:highlight w:val="none"/>
        </w:rPr>
      </w:pPr>
      <w:r>
        <w:rPr>
          <w:rFonts w:hint="eastAsia"/>
          <w:color w:val="auto"/>
          <w:highlight w:val="none"/>
        </w:rPr>
        <w:t>有下列情形之一的，视为投标人串通投标，其投标无效</w:t>
      </w:r>
      <w:r>
        <w:rPr>
          <w:rFonts w:hint="eastAsia"/>
          <w:color w:val="auto"/>
          <w:highlight w:val="none"/>
          <w:lang w:eastAsia="zh-CN"/>
        </w:rPr>
        <w:t>。</w:t>
      </w:r>
    </w:p>
    <w:p>
      <w:pPr>
        <w:pStyle w:val="29"/>
        <w:bidi w:val="0"/>
        <w:rPr>
          <w:rFonts w:hint="eastAsia"/>
          <w:color w:val="auto"/>
          <w:highlight w:val="none"/>
        </w:rPr>
      </w:pPr>
      <w:r>
        <w:rPr>
          <w:rFonts w:hint="eastAsia"/>
          <w:color w:val="auto"/>
          <w:highlight w:val="none"/>
          <w:lang w:val="en-US" w:eastAsia="zh-CN"/>
        </w:rPr>
        <w:t>1.</w:t>
      </w:r>
      <w:r>
        <w:rPr>
          <w:rFonts w:hint="eastAsia"/>
          <w:color w:val="auto"/>
          <w:highlight w:val="none"/>
        </w:rPr>
        <w:t>不同投标人的投标文件由同一单位或者个人编制；</w:t>
      </w:r>
    </w:p>
    <w:p>
      <w:pPr>
        <w:pStyle w:val="29"/>
        <w:bidi w:val="0"/>
        <w:rPr>
          <w:rFonts w:hint="eastAsia"/>
          <w:color w:val="auto"/>
          <w:highlight w:val="none"/>
        </w:rPr>
      </w:pPr>
      <w:r>
        <w:rPr>
          <w:rFonts w:hint="eastAsia"/>
          <w:color w:val="auto"/>
          <w:highlight w:val="none"/>
          <w:lang w:val="en-US" w:eastAsia="zh-CN"/>
        </w:rPr>
        <w:t>2.</w:t>
      </w:r>
      <w:r>
        <w:rPr>
          <w:rFonts w:hint="eastAsia"/>
          <w:color w:val="auto"/>
          <w:highlight w:val="none"/>
        </w:rPr>
        <w:t>不同投标人委托同一单位或者个人办理投标事宜；</w:t>
      </w:r>
    </w:p>
    <w:p>
      <w:pPr>
        <w:pStyle w:val="29"/>
        <w:bidi w:val="0"/>
        <w:rPr>
          <w:rFonts w:hint="eastAsia"/>
          <w:color w:val="auto"/>
          <w:highlight w:val="none"/>
        </w:rPr>
      </w:pPr>
      <w:r>
        <w:rPr>
          <w:rFonts w:hint="eastAsia"/>
          <w:color w:val="auto"/>
          <w:highlight w:val="none"/>
          <w:lang w:val="en-US" w:eastAsia="zh-CN"/>
        </w:rPr>
        <w:t>3.</w:t>
      </w:r>
      <w:r>
        <w:rPr>
          <w:rFonts w:hint="eastAsia"/>
          <w:color w:val="auto"/>
          <w:highlight w:val="none"/>
        </w:rPr>
        <w:t>不同投标人的投标文件载明的项目管理成员或者联系人员为同一人；</w:t>
      </w:r>
    </w:p>
    <w:p>
      <w:pPr>
        <w:pStyle w:val="29"/>
        <w:bidi w:val="0"/>
        <w:rPr>
          <w:rFonts w:hint="eastAsia"/>
          <w:color w:val="auto"/>
          <w:highlight w:val="none"/>
        </w:rPr>
      </w:pPr>
      <w:r>
        <w:rPr>
          <w:rFonts w:hint="eastAsia"/>
          <w:color w:val="auto"/>
          <w:highlight w:val="none"/>
          <w:lang w:val="en-US" w:eastAsia="zh-CN"/>
        </w:rPr>
        <w:t>4.</w:t>
      </w:r>
      <w:r>
        <w:rPr>
          <w:rFonts w:hint="eastAsia"/>
          <w:color w:val="auto"/>
          <w:highlight w:val="none"/>
        </w:rPr>
        <w:t>不同投标人的投标文件异常一致或者投标报价呈规律性差异；</w:t>
      </w:r>
    </w:p>
    <w:p>
      <w:pPr>
        <w:pStyle w:val="29"/>
        <w:bidi w:val="0"/>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不同投标人的投标文件相互混装</w:t>
      </w:r>
      <w:r>
        <w:rPr>
          <w:rFonts w:hint="eastAsia"/>
          <w:color w:val="auto"/>
          <w:highlight w:val="none"/>
          <w:lang w:eastAsia="zh-CN"/>
        </w:rPr>
        <w:t>。</w:t>
      </w:r>
    </w:p>
    <w:p>
      <w:pPr>
        <w:pStyle w:val="27"/>
        <w:numPr>
          <w:ilvl w:val="2"/>
          <w:numId w:val="17"/>
        </w:numPr>
        <w:bidi w:val="0"/>
        <w:rPr>
          <w:rFonts w:hint="eastAsia"/>
          <w:color w:val="auto"/>
          <w:highlight w:val="none"/>
          <w:lang w:val="en-US" w:eastAsia="zh-CN"/>
        </w:rPr>
      </w:pPr>
      <w:bookmarkStart w:id="812" w:name="_Toc32334"/>
      <w:bookmarkStart w:id="813" w:name="_Toc17038"/>
      <w:bookmarkStart w:id="814" w:name="_Toc21656"/>
      <w:bookmarkStart w:id="815" w:name="_Toc22192"/>
      <w:bookmarkStart w:id="816" w:name="_Toc14439"/>
      <w:bookmarkStart w:id="817" w:name="_Toc10983"/>
      <w:r>
        <w:rPr>
          <w:rFonts w:hint="eastAsia"/>
          <w:color w:val="auto"/>
          <w:highlight w:val="none"/>
          <w:lang w:val="en-US" w:eastAsia="zh-CN"/>
        </w:rPr>
        <w:t>投标人信用信息查询</w:t>
      </w:r>
      <w:bookmarkEnd w:id="812"/>
      <w:bookmarkEnd w:id="813"/>
      <w:bookmarkEnd w:id="814"/>
      <w:bookmarkEnd w:id="815"/>
      <w:bookmarkEnd w:id="816"/>
      <w:bookmarkEnd w:id="817"/>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lang w:val="en-US" w:eastAsia="zh-CN"/>
        </w:rPr>
        <w:t>1.投标人信用信息查询渠道</w:t>
      </w:r>
    </w:p>
    <w:p>
      <w:pPr>
        <w:pStyle w:val="29"/>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color w:val="auto"/>
          <w:highlight w:val="none"/>
        </w:rPr>
      </w:pPr>
      <w:r>
        <w:rPr>
          <w:rFonts w:hint="eastAsia"/>
          <w:color w:val="auto"/>
          <w:highlight w:val="none"/>
        </w:rPr>
        <w:t>“信用中国”网站(www.creditchina.gov.cn)、</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(www.ccgp.gov.cn)等。</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lang w:val="en-US" w:eastAsia="zh-CN"/>
        </w:rPr>
        <w:t>2.投标人信用信息查询截止时点</w:t>
      </w:r>
    </w:p>
    <w:p>
      <w:pPr>
        <w:pStyle w:val="29"/>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lang w:val="en-US" w:eastAsia="zh-CN"/>
        </w:rPr>
        <w:t>信用信息查询在资格审查阶段完成。</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lang w:val="en-US" w:eastAsia="zh-CN"/>
        </w:rPr>
        <w:t>3.投标人信用信息查询记录和证据留存的具体方式</w:t>
      </w:r>
    </w:p>
    <w:p>
      <w:pPr>
        <w:pStyle w:val="29"/>
        <w:keepNext w:val="0"/>
        <w:keepLines w:val="0"/>
        <w:pageBreakBefore w:val="0"/>
        <w:widowControl w:val="0"/>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rPr>
        <w:t>采购代理机构通过</w:t>
      </w:r>
      <w:r>
        <w:rPr>
          <w:rFonts w:hint="eastAsia"/>
          <w:color w:val="auto"/>
          <w:highlight w:val="none"/>
          <w:lang w:eastAsia="zh-CN"/>
        </w:rPr>
        <w:t>“</w:t>
      </w:r>
      <w:r>
        <w:rPr>
          <w:rFonts w:hint="eastAsia"/>
          <w:color w:val="auto"/>
          <w:highlight w:val="none"/>
        </w:rPr>
        <w:t>信用中国</w:t>
      </w:r>
      <w:r>
        <w:rPr>
          <w:rFonts w:hint="eastAsia"/>
          <w:color w:val="auto"/>
          <w:highlight w:val="none"/>
          <w:lang w:eastAsia="zh-CN"/>
        </w:rPr>
        <w:t>”</w:t>
      </w:r>
      <w:r>
        <w:rPr>
          <w:rFonts w:hint="eastAsia"/>
          <w:color w:val="auto"/>
          <w:highlight w:val="none"/>
        </w:rPr>
        <w:t>网站、</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等渠道对供应商进行信用记录查询，并将查询记录存档。</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lang w:val="en-US" w:eastAsia="zh-CN"/>
        </w:rPr>
      </w:pPr>
      <w:r>
        <w:rPr>
          <w:rFonts w:hint="eastAsia"/>
          <w:color w:val="auto"/>
          <w:highlight w:val="none"/>
          <w:lang w:val="en-US" w:eastAsia="zh-CN"/>
        </w:rPr>
        <w:t>4.投标人信用信息的使用：</w:t>
      </w:r>
      <w:r>
        <w:rPr>
          <w:rFonts w:hint="eastAsia"/>
          <w:color w:val="auto"/>
          <w:highlight w:val="none"/>
        </w:rPr>
        <w:t>凡被列入失信被执行人、重大税收违法案件当事人名单、政府采购严重违法失信行为记录名单的，视为存在不良信用记录，参与本项目的将被拒绝</w:t>
      </w:r>
      <w:r>
        <w:rPr>
          <w:rFonts w:hint="eastAsia"/>
          <w:color w:val="auto"/>
          <w:highlight w:val="none"/>
          <w:lang w:val="en-US" w:eastAsia="zh-CN"/>
        </w:rPr>
        <w:t>。</w:t>
      </w:r>
    </w:p>
    <w:p>
      <w:pPr>
        <w:pStyle w:val="27"/>
        <w:numPr>
          <w:ilvl w:val="2"/>
          <w:numId w:val="17"/>
        </w:numPr>
        <w:bidi w:val="0"/>
        <w:rPr>
          <w:rFonts w:hint="eastAsia"/>
          <w:color w:val="auto"/>
          <w:highlight w:val="none"/>
          <w:lang w:val="en-US" w:eastAsia="zh-CN"/>
        </w:rPr>
      </w:pPr>
      <w:bookmarkStart w:id="818" w:name="_Toc29088"/>
      <w:r>
        <w:rPr>
          <w:rFonts w:hint="eastAsia"/>
          <w:color w:val="auto"/>
          <w:highlight w:val="none"/>
          <w:lang w:val="en-US" w:eastAsia="zh-CN"/>
        </w:rPr>
        <w:t>解释说明</w:t>
      </w:r>
      <w:bookmarkEnd w:id="818"/>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本</w:t>
      </w:r>
      <w:r>
        <w:rPr>
          <w:rFonts w:hint="eastAsia"/>
          <w:color w:val="auto"/>
          <w:highlight w:val="none"/>
          <w:lang w:val="en-US" w:eastAsia="zh-CN"/>
        </w:rPr>
        <w:t>招标文件</w:t>
      </w:r>
      <w:r>
        <w:rPr>
          <w:rFonts w:hint="eastAsia"/>
          <w:color w:val="auto"/>
          <w:highlight w:val="none"/>
        </w:rPr>
        <w:t>中作为实质性要求的内容，除明确要求</w:t>
      </w:r>
      <w:r>
        <w:rPr>
          <w:rFonts w:hint="eastAsia"/>
          <w:color w:val="auto"/>
          <w:highlight w:val="none"/>
          <w:lang w:val="en-US" w:eastAsia="zh-CN"/>
        </w:rPr>
        <w:t>需在投标时</w:t>
      </w:r>
      <w:r>
        <w:rPr>
          <w:rFonts w:hint="eastAsia"/>
          <w:color w:val="auto"/>
          <w:highlight w:val="none"/>
        </w:rPr>
        <w:t>提供承诺函等证明材料的外，采购人或采购代理机构或评标委员会在评审时，仅对投标文件是否违背实质性要求进行审查</w:t>
      </w:r>
      <w:r>
        <w:rPr>
          <w:rFonts w:hint="eastAsia"/>
          <w:color w:val="auto"/>
          <w:highlight w:val="none"/>
          <w:lang w:eastAsia="zh-CN"/>
        </w:rPr>
        <w:t>，</w:t>
      </w:r>
      <w:r>
        <w:rPr>
          <w:rFonts w:hint="eastAsia"/>
          <w:color w:val="auto"/>
          <w:highlight w:val="none"/>
          <w:lang w:val="en-US" w:eastAsia="zh-CN"/>
        </w:rPr>
        <w:t>如该项未</w:t>
      </w:r>
      <w:r>
        <w:rPr>
          <w:rFonts w:hint="eastAsia"/>
          <w:color w:val="auto"/>
          <w:highlight w:val="none"/>
        </w:rPr>
        <w:t>违背实质性</w:t>
      </w:r>
      <w:r>
        <w:rPr>
          <w:rFonts w:hint="eastAsia"/>
          <w:color w:val="auto"/>
          <w:highlight w:val="none"/>
          <w:lang w:val="en-US" w:eastAsia="zh-CN"/>
        </w:rPr>
        <w:t>要求，视为满足实质性要求</w:t>
      </w:r>
      <w:r>
        <w:rPr>
          <w:rFonts w:hint="eastAsia"/>
          <w:color w:val="auto"/>
          <w:highlight w:val="none"/>
        </w:rPr>
        <w:t>。</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本招标文件中所引</w:t>
      </w:r>
      <w:r>
        <w:rPr>
          <w:rFonts w:hint="eastAsia"/>
          <w:color w:val="auto"/>
          <w:highlight w:val="none"/>
          <w:lang w:val="en-US" w:eastAsia="zh-CN"/>
        </w:rPr>
        <w:t>用的</w:t>
      </w:r>
      <w:r>
        <w:rPr>
          <w:rFonts w:hint="eastAsia"/>
          <w:color w:val="auto"/>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按照变化后的相关法律制度规定执行，本招标文件不再做调整。</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国家或行业主管部门对供应商和采购产品的技术标准、质量标准和资格资质条件等有强制性规定的，必须符合其要求</w:t>
      </w:r>
      <w:r>
        <w:rPr>
          <w:rFonts w:hint="eastAsia"/>
          <w:b/>
          <w:bCs/>
          <w:color w:val="auto"/>
          <w:highlight w:val="none"/>
          <w:lang w:eastAsia="zh-CN"/>
        </w:rPr>
        <w:t>(</w:t>
      </w:r>
      <w:r>
        <w:rPr>
          <w:rFonts w:hint="eastAsia"/>
          <w:b/>
          <w:bCs/>
          <w:color w:val="auto"/>
          <w:highlight w:val="none"/>
        </w:rPr>
        <w:t>实质性要求</w:t>
      </w:r>
      <w:r>
        <w:rPr>
          <w:rFonts w:hint="eastAsia"/>
          <w:b/>
          <w:bCs/>
          <w:color w:val="auto"/>
          <w:highlight w:val="none"/>
          <w:lang w:eastAsia="zh-CN"/>
        </w:rPr>
        <w:t>)</w:t>
      </w:r>
      <w:r>
        <w:rPr>
          <w:rFonts w:hint="eastAsia"/>
          <w:color w:val="auto"/>
          <w:highlight w:val="none"/>
        </w:rPr>
        <w:t>。</w:t>
      </w:r>
    </w:p>
    <w:p>
      <w:pPr>
        <w:pStyle w:val="38"/>
        <w:numPr>
          <w:ilvl w:val="1"/>
          <w:numId w:val="0"/>
        </w:numPr>
        <w:bidi w:val="0"/>
        <w:ind w:firstLine="480" w:firstLineChars="200"/>
        <w:rPr>
          <w:color w:val="auto"/>
          <w:highlight w:val="none"/>
        </w:rPr>
      </w:pPr>
      <w:r>
        <w:rPr>
          <w:rFonts w:hint="eastAsia" w:eastAsia="宋体"/>
          <w:color w:val="auto"/>
          <w:highlight w:val="none"/>
          <w:lang w:val="en-US" w:eastAsia="zh-CN"/>
        </w:rPr>
        <w:t>4.</w:t>
      </w:r>
      <w:r>
        <w:rPr>
          <w:rFonts w:hint="eastAsia" w:ascii="宋体" w:hAnsi="宋体" w:eastAsia="宋体" w:cs="宋体"/>
          <w:color w:val="auto"/>
          <w:sz w:val="24"/>
          <w:szCs w:val="24"/>
          <w:highlight w:val="none"/>
          <w:lang w:val="en-US" w:eastAsia="zh-CN"/>
        </w:rPr>
        <w:t>本项目涉及企业资质、产品认证、人员执业资格等描述与国家最新要求不一致时以最新要求为准。</w:t>
      </w:r>
    </w:p>
    <w:p>
      <w:pPr>
        <w:pStyle w:val="24"/>
        <w:numPr>
          <w:ilvl w:val="0"/>
          <w:numId w:val="11"/>
        </w:numPr>
        <w:bidi w:val="0"/>
        <w:rPr>
          <w:rFonts w:hint="eastAsia"/>
          <w:color w:val="auto"/>
          <w:highlight w:val="none"/>
        </w:rPr>
      </w:pPr>
      <w:r>
        <w:rPr>
          <w:rFonts w:hint="eastAsia"/>
          <w:color w:val="auto"/>
          <w:highlight w:val="none"/>
        </w:rPr>
        <w:br w:type="page"/>
      </w:r>
      <w:bookmarkEnd w:id="801"/>
      <w:bookmarkStart w:id="819" w:name="_Toc29575"/>
      <w:bookmarkStart w:id="820" w:name="_Toc25961"/>
      <w:bookmarkStart w:id="821" w:name="_Toc24779"/>
      <w:bookmarkStart w:id="822" w:name="_Toc4206"/>
      <w:bookmarkStart w:id="823" w:name="_Toc31402"/>
      <w:r>
        <w:rPr>
          <w:rFonts w:hint="eastAsia"/>
          <w:color w:val="auto"/>
          <w:highlight w:val="none"/>
        </w:rPr>
        <w:t>投标文件格式</w:t>
      </w:r>
      <w:bookmarkEnd w:id="819"/>
      <w:bookmarkEnd w:id="820"/>
      <w:bookmarkEnd w:id="821"/>
      <w:bookmarkEnd w:id="822"/>
      <w:bookmarkEnd w:id="823"/>
    </w:p>
    <w:p>
      <w:pPr>
        <w:pStyle w:val="51"/>
        <w:bidi w:val="0"/>
        <w:rPr>
          <w:rFonts w:hint="eastAsia"/>
          <w:color w:val="auto"/>
          <w:highlight w:val="none"/>
        </w:rPr>
      </w:pPr>
      <w:bookmarkStart w:id="824" w:name="_Toc287367101"/>
      <w:bookmarkStart w:id="825" w:name="_Toc294701519"/>
      <w:bookmarkStart w:id="826" w:name="_Toc439161746"/>
      <w:bookmarkStart w:id="827" w:name="_Toc294688711"/>
      <w:bookmarkStart w:id="828" w:name="_Toc182629023"/>
      <w:bookmarkStart w:id="829" w:name="_Toc182759327"/>
      <w:bookmarkStart w:id="830" w:name="_Toc316462354"/>
      <w:bookmarkStart w:id="831" w:name="_Toc211218954"/>
      <w:bookmarkStart w:id="832" w:name="_Toc295978802"/>
      <w:bookmarkStart w:id="833" w:name="_Toc16460"/>
      <w:r>
        <w:rPr>
          <w:rFonts w:hint="eastAsia"/>
          <w:color w:val="auto"/>
          <w:highlight w:val="none"/>
        </w:rPr>
        <w:t>一、本章所制</w:t>
      </w:r>
      <w:r>
        <w:rPr>
          <w:rFonts w:hint="eastAsia"/>
          <w:color w:val="auto"/>
          <w:highlight w:val="none"/>
          <w:lang w:val="en-US" w:eastAsia="zh-CN"/>
        </w:rPr>
        <w:t>投标</w:t>
      </w:r>
      <w:r>
        <w:rPr>
          <w:rFonts w:hint="eastAsia"/>
          <w:color w:val="auto"/>
          <w:highlight w:val="none"/>
        </w:rPr>
        <w:t>文件格式，除格式中明确将该格式作为实质性要求的，一律不具有强制性。</w:t>
      </w:r>
    </w:p>
    <w:p>
      <w:pPr>
        <w:pStyle w:val="51"/>
        <w:bidi w:val="0"/>
        <w:rPr>
          <w:rFonts w:hint="eastAsia"/>
          <w:color w:val="auto"/>
          <w:highlight w:val="none"/>
        </w:rPr>
      </w:pPr>
      <w:r>
        <w:rPr>
          <w:rFonts w:hint="eastAsia"/>
          <w:color w:val="auto"/>
          <w:highlight w:val="none"/>
        </w:rPr>
        <w:t>二、本章所制</w:t>
      </w:r>
      <w:r>
        <w:rPr>
          <w:rFonts w:hint="eastAsia"/>
          <w:color w:val="auto"/>
          <w:highlight w:val="none"/>
          <w:lang w:val="en-US" w:eastAsia="zh-CN"/>
        </w:rPr>
        <w:t>投标</w:t>
      </w:r>
      <w:r>
        <w:rPr>
          <w:rFonts w:hint="eastAsia"/>
          <w:color w:val="auto"/>
          <w:highlight w:val="none"/>
        </w:rPr>
        <w:t>文件格式有关表格中的备注栏，由</w:t>
      </w:r>
      <w:r>
        <w:rPr>
          <w:rFonts w:hint="eastAsia"/>
          <w:color w:val="auto"/>
          <w:highlight w:val="none"/>
          <w:lang w:val="en-US" w:eastAsia="zh-CN"/>
        </w:rPr>
        <w:t>投标人</w:t>
      </w:r>
      <w:r>
        <w:rPr>
          <w:rFonts w:hint="eastAsia"/>
          <w:color w:val="auto"/>
          <w:highlight w:val="none"/>
        </w:rPr>
        <w:t>根据自身</w:t>
      </w:r>
      <w:r>
        <w:rPr>
          <w:rFonts w:hint="eastAsia"/>
          <w:color w:val="auto"/>
          <w:highlight w:val="none"/>
          <w:lang w:val="en-US" w:eastAsia="zh-CN"/>
        </w:rPr>
        <w:t>投标</w:t>
      </w:r>
      <w:r>
        <w:rPr>
          <w:rFonts w:hint="eastAsia"/>
          <w:color w:val="auto"/>
          <w:highlight w:val="none"/>
        </w:rPr>
        <w:t>情况作解释性说明，不作为必填项。</w:t>
      </w:r>
    </w:p>
    <w:p>
      <w:pPr>
        <w:pStyle w:val="51"/>
        <w:bidi w:val="0"/>
        <w:rPr>
          <w:rFonts w:hint="eastAsia"/>
          <w:color w:val="auto"/>
          <w:highlight w:val="none"/>
        </w:rPr>
      </w:pPr>
      <w:r>
        <w:rPr>
          <w:rFonts w:hint="eastAsia"/>
          <w:color w:val="auto"/>
          <w:highlight w:val="none"/>
          <w:lang w:val="en-US" w:eastAsia="zh-CN"/>
        </w:rPr>
        <w:t>三、本章</w:t>
      </w:r>
      <w:r>
        <w:rPr>
          <w:rFonts w:hint="eastAsia"/>
          <w:color w:val="auto"/>
          <w:highlight w:val="none"/>
        </w:rPr>
        <w:t>格式中“注”的内容，</w:t>
      </w:r>
      <w:r>
        <w:rPr>
          <w:rFonts w:hint="eastAsia"/>
          <w:color w:val="auto"/>
          <w:highlight w:val="none"/>
          <w:lang w:val="en-US" w:eastAsia="zh-CN"/>
        </w:rPr>
        <w:t>供应商</w:t>
      </w:r>
      <w:r>
        <w:rPr>
          <w:rFonts w:hint="eastAsia"/>
          <w:color w:val="auto"/>
          <w:highlight w:val="none"/>
        </w:rPr>
        <w:t>可自行决定是否保留在</w:t>
      </w:r>
      <w:r>
        <w:rPr>
          <w:rFonts w:hint="eastAsia"/>
          <w:color w:val="auto"/>
          <w:highlight w:val="none"/>
          <w:lang w:val="en-US" w:eastAsia="zh-CN"/>
        </w:rPr>
        <w:t>投标</w:t>
      </w:r>
      <w:r>
        <w:rPr>
          <w:rFonts w:hint="eastAsia"/>
          <w:color w:val="auto"/>
          <w:highlight w:val="none"/>
        </w:rPr>
        <w:t>文件中，未保留的视为</w:t>
      </w:r>
      <w:r>
        <w:rPr>
          <w:rFonts w:hint="eastAsia"/>
          <w:color w:val="auto"/>
          <w:highlight w:val="none"/>
          <w:lang w:val="en-US" w:eastAsia="zh-CN"/>
        </w:rPr>
        <w:t>供应商</w:t>
      </w:r>
      <w:r>
        <w:rPr>
          <w:rFonts w:hint="eastAsia"/>
          <w:color w:val="auto"/>
          <w:highlight w:val="none"/>
        </w:rPr>
        <w:t>默认接受“注”的内容</w:t>
      </w:r>
      <w:r>
        <w:rPr>
          <w:rFonts w:hint="eastAsia"/>
          <w:color w:val="auto"/>
          <w:highlight w:val="none"/>
          <w:lang w:eastAsia="zh-CN"/>
        </w:rPr>
        <w:t>。</w:t>
      </w:r>
    </w:p>
    <w:p>
      <w:pPr>
        <w:pStyle w:val="51"/>
        <w:bidi w:val="0"/>
        <w:rPr>
          <w:rFonts w:hint="eastAsia"/>
          <w:color w:val="auto"/>
          <w:highlight w:val="none"/>
        </w:rPr>
      </w:pPr>
      <w:r>
        <w:rPr>
          <w:rFonts w:hint="eastAsia"/>
          <w:color w:val="auto"/>
          <w:highlight w:val="none"/>
          <w:lang w:val="en-US" w:eastAsia="zh-CN"/>
        </w:rPr>
        <w:t>四</w:t>
      </w:r>
      <w:r>
        <w:rPr>
          <w:rFonts w:hint="eastAsia"/>
          <w:color w:val="auto"/>
          <w:highlight w:val="none"/>
        </w:rPr>
        <w:t>、本章所制</w:t>
      </w:r>
      <w:r>
        <w:rPr>
          <w:rFonts w:hint="eastAsia"/>
          <w:color w:val="auto"/>
          <w:highlight w:val="none"/>
          <w:lang w:val="en-US" w:eastAsia="zh-CN"/>
        </w:rPr>
        <w:t>投标</w:t>
      </w:r>
      <w:r>
        <w:rPr>
          <w:rFonts w:hint="eastAsia"/>
          <w:color w:val="auto"/>
          <w:highlight w:val="none"/>
        </w:rPr>
        <w:t>文件格式中需要填写的相关内容事项，可能会与本采购项目无关，在不改变</w:t>
      </w:r>
      <w:r>
        <w:rPr>
          <w:rFonts w:hint="eastAsia"/>
          <w:color w:val="auto"/>
          <w:highlight w:val="none"/>
          <w:lang w:val="en-US" w:eastAsia="zh-CN"/>
        </w:rPr>
        <w:t>投标文件</w:t>
      </w:r>
      <w:r>
        <w:rPr>
          <w:rFonts w:hint="eastAsia"/>
          <w:color w:val="auto"/>
          <w:highlight w:val="none"/>
        </w:rPr>
        <w:t>原义、不影响本项目采购需求的情况下，</w:t>
      </w:r>
      <w:r>
        <w:rPr>
          <w:rFonts w:hint="eastAsia"/>
          <w:color w:val="auto"/>
          <w:highlight w:val="none"/>
          <w:lang w:val="en-US" w:eastAsia="zh-CN"/>
        </w:rPr>
        <w:t>投标人</w:t>
      </w:r>
      <w:r>
        <w:rPr>
          <w:rFonts w:hint="eastAsia"/>
          <w:color w:val="auto"/>
          <w:highlight w:val="none"/>
        </w:rPr>
        <w:t>可以不予填写，但应当注明。</w:t>
      </w:r>
    </w:p>
    <w:p>
      <w:pPr>
        <w:pStyle w:val="25"/>
        <w:bidi w:val="0"/>
        <w:rPr>
          <w:rFonts w:hint="eastAsia"/>
          <w:color w:val="auto"/>
          <w:highlight w:val="none"/>
        </w:rPr>
      </w:pPr>
      <w:r>
        <w:rPr>
          <w:rFonts w:hint="eastAsia"/>
          <w:color w:val="auto"/>
          <w:highlight w:val="none"/>
        </w:rPr>
        <w:br w:type="page"/>
      </w:r>
    </w:p>
    <w:p>
      <w:pPr>
        <w:pStyle w:val="39"/>
        <w:bidi w:val="0"/>
        <w:rPr>
          <w:rFonts w:hint="eastAsia"/>
          <w:color w:val="auto"/>
          <w:highlight w:val="none"/>
        </w:rPr>
      </w:pPr>
      <w:r>
        <w:rPr>
          <w:rFonts w:hint="eastAsia"/>
          <w:color w:val="auto"/>
          <w:highlight w:val="none"/>
        </w:rPr>
        <w:t>附件：密封袋的格式</w:t>
      </w:r>
    </w:p>
    <w:p>
      <w:pPr>
        <w:pStyle w:val="39"/>
        <w:bidi w:val="0"/>
        <w:rPr>
          <w:rFonts w:hint="eastAsia"/>
          <w:color w:val="auto"/>
          <w:highlight w:val="none"/>
        </w:rPr>
      </w:pPr>
    </w:p>
    <w:p>
      <w:pPr>
        <w:pStyle w:val="39"/>
        <w:bidi w:val="0"/>
        <w:rPr>
          <w:rFonts w:hint="eastAsia"/>
          <w:color w:val="auto"/>
          <w:highlight w:val="none"/>
        </w:rPr>
      </w:pPr>
    </w:p>
    <w:p>
      <w:pPr>
        <w:pStyle w:val="39"/>
        <w:bidi w:val="0"/>
        <w:rPr>
          <w:rFonts w:hint="eastAsia"/>
          <w:color w:val="auto"/>
          <w:highlight w:val="none"/>
        </w:rPr>
      </w:pPr>
    </w:p>
    <w:tbl>
      <w:tblPr>
        <w:tblStyle w:val="18"/>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vAlign w:val="top"/>
          </w:tcPr>
          <w:p>
            <w:pPr>
              <w:pStyle w:val="39"/>
              <w:bidi w:val="0"/>
              <w:rPr>
                <w:rFonts w:hint="eastAsia"/>
                <w:color w:val="auto"/>
                <w:highlight w:val="none"/>
              </w:rPr>
            </w:pPr>
          </w:p>
          <w:p>
            <w:pPr>
              <w:pStyle w:val="39"/>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rPr>
              <w:t>项目名称</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9"/>
              <w:bidi w:val="0"/>
              <w:rPr>
                <w:rFonts w:hint="eastAsia"/>
                <w:color w:val="auto"/>
                <w:highlight w:val="none"/>
              </w:rPr>
            </w:pPr>
          </w:p>
          <w:p>
            <w:pPr>
              <w:pStyle w:val="39"/>
              <w:bidi w:val="0"/>
              <w:jc w:val="center"/>
              <w:rPr>
                <w:rFonts w:hint="eastAsia"/>
                <w:b/>
                <w:bCs/>
                <w:color w:val="auto"/>
                <w:sz w:val="32"/>
                <w:szCs w:val="32"/>
                <w:highlight w:val="none"/>
              </w:rPr>
            </w:pPr>
            <w:r>
              <w:rPr>
                <w:rFonts w:hint="eastAsia"/>
                <w:b/>
                <w:bCs/>
                <w:color w:val="auto"/>
                <w:sz w:val="32"/>
                <w:szCs w:val="32"/>
                <w:highlight w:val="none"/>
                <w:lang w:eastAsia="zh-CN"/>
              </w:rPr>
              <w:t>资格、资质性及其他类似效力投标文件</w:t>
            </w:r>
            <w:r>
              <w:rPr>
                <w:rFonts w:hint="eastAsia"/>
                <w:b/>
                <w:bCs/>
                <w:color w:val="auto"/>
                <w:sz w:val="32"/>
                <w:szCs w:val="32"/>
                <w:highlight w:val="none"/>
                <w:lang w:val="en-US" w:eastAsia="zh-CN"/>
              </w:rPr>
              <w:t>/</w:t>
            </w:r>
            <w:r>
              <w:rPr>
                <w:rFonts w:hint="eastAsia"/>
                <w:b/>
                <w:bCs/>
                <w:color w:val="auto"/>
                <w:sz w:val="32"/>
                <w:szCs w:val="32"/>
                <w:highlight w:val="none"/>
              </w:rPr>
              <w:t>其他</w:t>
            </w:r>
            <w:r>
              <w:rPr>
                <w:rFonts w:hint="eastAsia"/>
                <w:b/>
                <w:bCs/>
                <w:color w:val="auto"/>
                <w:sz w:val="32"/>
                <w:szCs w:val="32"/>
                <w:highlight w:val="none"/>
                <w:lang w:val="en-US" w:eastAsia="zh-CN"/>
              </w:rPr>
              <w:t>投标</w:t>
            </w:r>
            <w:r>
              <w:rPr>
                <w:rFonts w:hint="eastAsia"/>
                <w:b/>
                <w:bCs/>
                <w:color w:val="auto"/>
                <w:sz w:val="32"/>
                <w:szCs w:val="32"/>
                <w:highlight w:val="none"/>
              </w:rPr>
              <w:t>文件</w:t>
            </w:r>
          </w:p>
          <w:p>
            <w:pPr>
              <w:pStyle w:val="39"/>
              <w:bidi w:val="0"/>
              <w:jc w:val="center"/>
              <w:rPr>
                <w:rFonts w:hint="eastAsia"/>
                <w:b/>
                <w:bCs/>
                <w:color w:val="auto"/>
                <w:sz w:val="32"/>
                <w:szCs w:val="32"/>
                <w:highlight w:val="none"/>
              </w:rPr>
            </w:pPr>
            <w:r>
              <w:rPr>
                <w:rFonts w:hint="eastAsia"/>
                <w:b/>
                <w:bCs/>
                <w:color w:val="auto"/>
                <w:sz w:val="32"/>
                <w:szCs w:val="32"/>
                <w:highlight w:val="none"/>
                <w:lang w:val="en-US" w:eastAsia="zh-CN"/>
              </w:rPr>
              <w:t>/开标一览表</w:t>
            </w:r>
          </w:p>
          <w:p>
            <w:pPr>
              <w:pStyle w:val="39"/>
              <w:bidi w:val="0"/>
              <w:rPr>
                <w:rFonts w:hint="eastAsia"/>
                <w:color w:val="auto"/>
                <w:highlight w:val="none"/>
              </w:rPr>
            </w:pPr>
          </w:p>
          <w:p>
            <w:pPr>
              <w:pStyle w:val="39"/>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lang w:val="en-US" w:eastAsia="zh-CN"/>
              </w:rPr>
              <w:t>投标日期</w:t>
            </w:r>
            <w:r>
              <w:rPr>
                <w:rFonts w:hint="eastAsia"/>
                <w:color w:val="auto"/>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9"/>
              <w:bidi w:val="0"/>
              <w:rPr>
                <w:rFonts w:hint="eastAsia"/>
                <w:color w:val="auto"/>
                <w:highlight w:val="none"/>
              </w:rPr>
            </w:pPr>
          </w:p>
        </w:tc>
      </w:tr>
    </w:tbl>
    <w:p>
      <w:pPr>
        <w:pStyle w:val="39"/>
        <w:bidi w:val="0"/>
        <w:rPr>
          <w:rFonts w:hint="eastAsia"/>
          <w:color w:val="auto"/>
          <w:highlight w:val="none"/>
          <w:lang w:val="en-US" w:eastAsia="zh-CN"/>
        </w:rPr>
      </w:pPr>
      <w:bookmarkStart w:id="834" w:name="_Toc6994"/>
      <w:bookmarkStart w:id="835" w:name="_Toc11581"/>
      <w:r>
        <w:rPr>
          <w:rFonts w:hint="eastAsia"/>
          <w:color w:val="auto"/>
          <w:highlight w:val="none"/>
          <w:lang w:val="en-US" w:eastAsia="zh-CN"/>
        </w:rPr>
        <w:br w:type="page"/>
      </w:r>
    </w:p>
    <w:p>
      <w:pPr>
        <w:pStyle w:val="39"/>
        <w:bidi w:val="0"/>
        <w:rPr>
          <w:rFonts w:hint="eastAsia"/>
          <w:color w:val="auto"/>
          <w:highlight w:val="none"/>
          <w:lang w:val="en-US" w:eastAsia="zh-CN"/>
        </w:rPr>
      </w:pPr>
      <w:r>
        <w:rPr>
          <w:rFonts w:hint="eastAsia"/>
          <w:color w:val="auto"/>
          <w:highlight w:val="none"/>
          <w:lang w:val="en-US" w:eastAsia="zh-CN"/>
        </w:rPr>
        <w:t>投标文件封面格式</w:t>
      </w:r>
      <w:bookmarkEnd w:id="824"/>
      <w:bookmarkEnd w:id="825"/>
      <w:bookmarkEnd w:id="826"/>
      <w:bookmarkEnd w:id="827"/>
      <w:bookmarkEnd w:id="828"/>
      <w:bookmarkEnd w:id="829"/>
      <w:bookmarkEnd w:id="830"/>
      <w:bookmarkEnd w:id="831"/>
      <w:bookmarkEnd w:id="832"/>
      <w:bookmarkEnd w:id="833"/>
      <w:bookmarkEnd w:id="834"/>
      <w:bookmarkEnd w:id="835"/>
    </w:p>
    <w:p>
      <w:pPr>
        <w:pStyle w:val="39"/>
        <w:bidi w:val="0"/>
        <w:rPr>
          <w:rFonts w:hint="eastAsia"/>
          <w:color w:val="auto"/>
          <w:highlight w:val="none"/>
        </w:rPr>
      </w:pPr>
      <w:r>
        <w:rPr>
          <w:rFonts w:hint="eastAsia"/>
          <w:color w:val="auto"/>
          <w:highlight w:val="none"/>
          <w:lang w:val="zh-CN" w:eastAsia="zh-CN"/>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v:textbox>
              </v:rect>
            </w:pict>
          </mc:Fallback>
        </mc:AlternateContent>
      </w:r>
    </w:p>
    <w:p>
      <w:pPr>
        <w:pStyle w:val="39"/>
        <w:bidi w:val="0"/>
        <w:rPr>
          <w:rFonts w:hint="eastAsia"/>
          <w:color w:val="auto"/>
          <w:highlight w:val="none"/>
        </w:rPr>
      </w:pPr>
    </w:p>
    <w:p>
      <w:pPr>
        <w:pStyle w:val="39"/>
        <w:bidi w:val="0"/>
        <w:rPr>
          <w:rFonts w:hint="eastAsia"/>
          <w:color w:val="auto"/>
          <w:highlight w:val="none"/>
        </w:rPr>
      </w:pPr>
    </w:p>
    <w:p>
      <w:pPr>
        <w:pStyle w:val="39"/>
        <w:bidi w:val="0"/>
        <w:rPr>
          <w:rFonts w:hint="eastAsia"/>
          <w:color w:val="auto"/>
          <w:highlight w:val="none"/>
        </w:rPr>
      </w:pPr>
    </w:p>
    <w:p>
      <w:pPr>
        <w:pStyle w:val="3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lang w:eastAsia="zh-CN"/>
        </w:rPr>
      </w:pPr>
    </w:p>
    <w:p>
      <w:pPr>
        <w:pStyle w:val="3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lang w:eastAsia="zh-CN"/>
        </w:rPr>
      </w:pPr>
      <w:r>
        <w:rPr>
          <w:rFonts w:hint="eastAsia"/>
          <w:b/>
          <w:bCs/>
          <w:color w:val="auto"/>
          <w:sz w:val="48"/>
          <w:szCs w:val="48"/>
          <w:highlight w:val="none"/>
          <w:lang w:eastAsia="zh-CN"/>
        </w:rPr>
        <w:t>资格、资质性及其他类似效力投标文件</w:t>
      </w:r>
    </w:p>
    <w:p>
      <w:pPr>
        <w:pStyle w:val="3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rPr>
      </w:pPr>
      <w:r>
        <w:rPr>
          <w:rFonts w:hint="eastAsia"/>
          <w:b/>
          <w:bCs/>
          <w:color w:val="auto"/>
          <w:sz w:val="48"/>
          <w:szCs w:val="48"/>
          <w:highlight w:val="none"/>
          <w:lang w:val="en-US" w:eastAsia="zh-CN"/>
        </w:rPr>
        <w:t>/</w:t>
      </w:r>
      <w:r>
        <w:rPr>
          <w:rFonts w:hint="eastAsia"/>
          <w:b/>
          <w:bCs/>
          <w:color w:val="auto"/>
          <w:sz w:val="48"/>
          <w:szCs w:val="48"/>
          <w:highlight w:val="none"/>
        </w:rPr>
        <w:t>其他</w:t>
      </w:r>
      <w:r>
        <w:rPr>
          <w:rFonts w:hint="eastAsia"/>
          <w:b/>
          <w:bCs/>
          <w:color w:val="auto"/>
          <w:sz w:val="48"/>
          <w:szCs w:val="48"/>
          <w:highlight w:val="none"/>
          <w:lang w:val="en-US" w:eastAsia="zh-CN"/>
        </w:rPr>
        <w:t>投标</w:t>
      </w:r>
      <w:r>
        <w:rPr>
          <w:rFonts w:hint="eastAsia"/>
          <w:b/>
          <w:bCs/>
          <w:color w:val="auto"/>
          <w:sz w:val="48"/>
          <w:szCs w:val="48"/>
          <w:highlight w:val="none"/>
        </w:rPr>
        <w:t>文件</w:t>
      </w:r>
    </w:p>
    <w:p>
      <w:pPr>
        <w:pStyle w:val="39"/>
        <w:bidi w:val="0"/>
        <w:rPr>
          <w:rFonts w:hint="eastAsia"/>
          <w:color w:val="auto"/>
          <w:highlight w:val="none"/>
        </w:rPr>
      </w:pP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投标人名称：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r>
        <w:rPr>
          <w:rFonts w:hint="eastAsia"/>
          <w:b/>
          <w:bCs/>
          <w:color w:val="auto"/>
          <w:sz w:val="32"/>
          <w:szCs w:val="32"/>
          <w:highlight w:val="none"/>
          <w:lang w:val="en-US" w:eastAsia="zh-CN"/>
        </w:rPr>
        <w:t xml:space="preserve"> </w:t>
      </w:r>
      <w:r>
        <w:rPr>
          <w:rFonts w:hint="eastAsia"/>
          <w:b/>
          <w:bCs/>
          <w:color w:val="auto"/>
          <w:sz w:val="32"/>
          <w:szCs w:val="32"/>
          <w:highlight w:val="none"/>
        </w:rPr>
        <w:t xml:space="preserve">     </w:t>
      </w:r>
    </w:p>
    <w:p>
      <w:pPr>
        <w:pStyle w:val="39"/>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投标日期：</w:t>
      </w:r>
      <w:r>
        <w:rPr>
          <w:rFonts w:hint="eastAsia"/>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b/>
          <w:bCs/>
          <w:color w:val="auto"/>
          <w:sz w:val="32"/>
          <w:szCs w:val="32"/>
          <w:highlight w:val="none"/>
          <w:u w:val="single"/>
        </w:rPr>
        <w:t xml:space="preserve"> </w:t>
      </w:r>
      <w:r>
        <w:rPr>
          <w:rFonts w:hint="eastAsia"/>
          <w:b/>
          <w:bCs/>
          <w:color w:val="auto"/>
          <w:sz w:val="32"/>
          <w:szCs w:val="32"/>
          <w:highlight w:val="none"/>
        </w:rPr>
        <w:t>年</w:t>
      </w:r>
      <w:r>
        <w:rPr>
          <w:rFonts w:hint="eastAsia"/>
          <w:b/>
          <w:bCs/>
          <w:color w:val="auto"/>
          <w:sz w:val="32"/>
          <w:szCs w:val="32"/>
          <w:highlight w:val="none"/>
          <w:u w:val="single"/>
        </w:rPr>
        <w:t xml:space="preserve">    </w:t>
      </w:r>
      <w:r>
        <w:rPr>
          <w:rFonts w:hint="eastAsia"/>
          <w:b/>
          <w:bCs/>
          <w:color w:val="auto"/>
          <w:sz w:val="32"/>
          <w:szCs w:val="32"/>
          <w:highlight w:val="none"/>
        </w:rPr>
        <w:t>月</w:t>
      </w:r>
      <w:r>
        <w:rPr>
          <w:rFonts w:hint="eastAsia"/>
          <w:b/>
          <w:bCs/>
          <w:color w:val="auto"/>
          <w:sz w:val="32"/>
          <w:szCs w:val="32"/>
          <w:highlight w:val="none"/>
          <w:u w:val="single"/>
        </w:rPr>
        <w:t xml:space="preserve">    </w:t>
      </w:r>
      <w:r>
        <w:rPr>
          <w:rFonts w:hint="eastAsia"/>
          <w:b/>
          <w:bCs/>
          <w:color w:val="auto"/>
          <w:sz w:val="32"/>
          <w:szCs w:val="32"/>
          <w:highlight w:val="none"/>
        </w:rPr>
        <w:t>日</w:t>
      </w:r>
    </w:p>
    <w:p>
      <w:pPr>
        <w:pStyle w:val="25"/>
        <w:bidi w:val="0"/>
        <w:rPr>
          <w:rFonts w:hint="eastAsia"/>
          <w:color w:val="auto"/>
          <w:highlight w:val="none"/>
        </w:rPr>
      </w:pPr>
      <w:bookmarkStart w:id="836" w:name="_Toc11556"/>
      <w:bookmarkStart w:id="837" w:name="_Toc31011"/>
      <w:bookmarkStart w:id="838" w:name="_Toc5306"/>
      <w:bookmarkStart w:id="839" w:name="_Toc5565"/>
      <w:r>
        <w:rPr>
          <w:rFonts w:hint="eastAsia"/>
          <w:color w:val="auto"/>
          <w:highlight w:val="none"/>
        </w:rPr>
        <w:br w:type="page"/>
      </w:r>
    </w:p>
    <w:bookmarkEnd w:id="836"/>
    <w:bookmarkEnd w:id="837"/>
    <w:bookmarkEnd w:id="838"/>
    <w:bookmarkEnd w:id="839"/>
    <w:p>
      <w:pPr>
        <w:pStyle w:val="25"/>
        <w:bidi w:val="0"/>
        <w:rPr>
          <w:rFonts w:hint="eastAsia"/>
          <w:color w:val="auto"/>
          <w:highlight w:val="none"/>
        </w:rPr>
      </w:pPr>
      <w:bookmarkStart w:id="840" w:name="_Toc15611"/>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lang w:val="en-US" w:eastAsia="zh-CN"/>
        </w:rPr>
      </w:pPr>
      <w:bookmarkStart w:id="841" w:name="_Toc24630"/>
    </w:p>
    <w:p>
      <w:pPr>
        <w:pStyle w:val="25"/>
        <w:bidi w:val="0"/>
        <w:rPr>
          <w:rFonts w:hint="eastAsia"/>
          <w:color w:val="auto"/>
          <w:highlight w:val="none"/>
          <w:lang w:val="en-US" w:eastAsia="zh-CN"/>
        </w:rPr>
      </w:pPr>
    </w:p>
    <w:p>
      <w:pPr>
        <w:pStyle w:val="25"/>
        <w:bidi w:val="0"/>
        <w:rPr>
          <w:rFonts w:hint="eastAsia"/>
          <w:color w:val="auto"/>
          <w:highlight w:val="none"/>
          <w:lang w:val="en-US" w:eastAsia="zh-CN"/>
        </w:rPr>
      </w:pPr>
    </w:p>
    <w:p>
      <w:pPr>
        <w:pStyle w:val="25"/>
        <w:bidi w:val="0"/>
        <w:rPr>
          <w:rFonts w:hint="eastAsia"/>
          <w:color w:val="auto"/>
          <w:highlight w:val="none"/>
          <w:lang w:val="en-US" w:eastAsia="zh-CN"/>
        </w:rPr>
      </w:pPr>
    </w:p>
    <w:p>
      <w:pPr>
        <w:pStyle w:val="25"/>
        <w:bidi w:val="0"/>
        <w:rPr>
          <w:rFonts w:hint="eastAsia"/>
          <w:color w:val="auto"/>
          <w:highlight w:val="none"/>
          <w:lang w:val="en-US" w:eastAsia="zh-CN"/>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color w:val="auto"/>
          <w:sz w:val="32"/>
          <w:szCs w:val="32"/>
          <w:highlight w:val="none"/>
        </w:rPr>
      </w:pPr>
      <w:bookmarkStart w:id="842" w:name="_Toc4211"/>
      <w:r>
        <w:rPr>
          <w:rFonts w:hint="eastAsia"/>
          <w:color w:val="auto"/>
          <w:sz w:val="32"/>
          <w:szCs w:val="32"/>
          <w:highlight w:val="none"/>
          <w:lang w:val="en-US" w:eastAsia="zh-CN"/>
        </w:rPr>
        <w:t>第一部</w:t>
      </w:r>
      <w:r>
        <w:rPr>
          <w:rFonts w:hint="eastAsia"/>
          <w:color w:val="auto"/>
          <w:sz w:val="32"/>
          <w:szCs w:val="32"/>
          <w:highlight w:val="none"/>
        </w:rPr>
        <w:t>分 资格、资质性及其他类似效力</w:t>
      </w:r>
      <w:r>
        <w:rPr>
          <w:rFonts w:hint="eastAsia"/>
          <w:color w:val="auto"/>
          <w:sz w:val="32"/>
          <w:szCs w:val="32"/>
          <w:highlight w:val="none"/>
          <w:lang w:val="en-US" w:eastAsia="zh-CN"/>
        </w:rPr>
        <w:t>投标</w:t>
      </w:r>
      <w:r>
        <w:rPr>
          <w:rFonts w:hint="eastAsia"/>
          <w:color w:val="auto"/>
          <w:sz w:val="32"/>
          <w:szCs w:val="32"/>
          <w:highlight w:val="none"/>
        </w:rPr>
        <w:t>文件(格式)</w:t>
      </w:r>
      <w:bookmarkEnd w:id="840"/>
      <w:bookmarkEnd w:id="841"/>
      <w:bookmarkEnd w:id="842"/>
      <w:bookmarkStart w:id="843" w:name="_Toc16168"/>
      <w:bookmarkStart w:id="844" w:name="_Toc23537"/>
    </w:p>
    <w:p>
      <w:pPr>
        <w:pStyle w:val="25"/>
        <w:bidi w:val="0"/>
        <w:rPr>
          <w:rFonts w:hint="eastAsia"/>
          <w:color w:val="auto"/>
          <w:highlight w:val="none"/>
        </w:rPr>
      </w:pPr>
      <w:r>
        <w:rPr>
          <w:rFonts w:hint="eastAsia"/>
          <w:color w:val="auto"/>
          <w:highlight w:val="none"/>
        </w:rPr>
        <w:br w:type="page"/>
      </w:r>
      <w:bookmarkEnd w:id="843"/>
      <w:bookmarkEnd w:id="844"/>
      <w:bookmarkStart w:id="845" w:name="_Toc26837"/>
      <w:bookmarkStart w:id="846" w:name="_Toc4996"/>
    </w:p>
    <w:p>
      <w:pPr>
        <w:pStyle w:val="48"/>
        <w:numPr>
          <w:ilvl w:val="0"/>
          <w:numId w:val="18"/>
        </w:numPr>
        <w:bidi w:val="0"/>
        <w:ind w:left="0" w:leftChars="0" w:firstLine="0" w:firstLineChars="0"/>
        <w:rPr>
          <w:rFonts w:hint="eastAsia"/>
          <w:color w:val="auto"/>
          <w:highlight w:val="none"/>
        </w:rPr>
      </w:pPr>
      <w:bookmarkStart w:id="847" w:name="_Toc24815"/>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授权书</w:t>
      </w:r>
      <w:bookmarkEnd w:id="845"/>
      <w:bookmarkEnd w:id="846"/>
      <w:bookmarkEnd w:id="847"/>
    </w:p>
    <w:p>
      <w:pPr>
        <w:pStyle w:val="25"/>
        <w:bidi w:val="0"/>
        <w:rPr>
          <w:rFonts w:hint="eastAsia"/>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(采购代理机构名称)：</w:t>
      </w:r>
    </w:p>
    <w:p>
      <w:pPr>
        <w:pStyle w:val="29"/>
        <w:bidi w:val="0"/>
        <w:rPr>
          <w:rFonts w:hint="eastAsia"/>
          <w:color w:val="auto"/>
          <w:highlight w:val="none"/>
        </w:rPr>
      </w:pPr>
      <w:r>
        <w:rPr>
          <w:rFonts w:hint="eastAsia"/>
          <w:color w:val="auto"/>
          <w:highlight w:val="none"/>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w:t>
      </w: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姓名、职务)授权</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(被授权人姓名、职务、身份证号码)为我方参加“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lang w:eastAsia="zh-CN"/>
        </w:rPr>
        <w:t>(</w:t>
      </w:r>
      <w:r>
        <w:rPr>
          <w:rFonts w:hint="eastAsia"/>
          <w:color w:val="auto"/>
          <w:highlight w:val="none"/>
        </w:rPr>
        <w:t>项目名称</w:t>
      </w:r>
      <w:r>
        <w:rPr>
          <w:rFonts w:hint="eastAsia"/>
          <w:color w:val="auto"/>
          <w:highlight w:val="none"/>
          <w:lang w:eastAsia="zh-CN"/>
        </w:rPr>
        <w:t>)</w:t>
      </w:r>
      <w:r>
        <w:rPr>
          <w:rFonts w:hint="eastAsia"/>
          <w:color w:val="auto"/>
          <w:highlight w:val="none"/>
        </w:rPr>
        <w:t>(项目编号</w:t>
      </w:r>
      <w:r>
        <w:rPr>
          <w:rFonts w:hint="eastAsia"/>
          <w:color w:val="auto"/>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投标</w:t>
      </w:r>
      <w:r>
        <w:rPr>
          <w:rFonts w:hint="eastAsia"/>
          <w:color w:val="auto"/>
          <w:highlight w:val="none"/>
        </w:rPr>
        <w:t>活动的合法代表，以我方名义全权处理该项目有关</w:t>
      </w:r>
      <w:r>
        <w:rPr>
          <w:rFonts w:hint="eastAsia"/>
          <w:color w:val="auto"/>
          <w:highlight w:val="none"/>
          <w:lang w:val="en-US" w:eastAsia="zh-CN"/>
        </w:rPr>
        <w:t>投标</w:t>
      </w:r>
      <w:r>
        <w:rPr>
          <w:rFonts w:hint="eastAsia"/>
          <w:color w:val="auto"/>
          <w:highlight w:val="none"/>
        </w:rPr>
        <w:t>、签订合同以及执行合同等一切事宜，我</w:t>
      </w:r>
      <w:r>
        <w:rPr>
          <w:rFonts w:hint="eastAsia"/>
          <w:color w:val="auto"/>
          <w:highlight w:val="none"/>
          <w:lang w:val="en-US" w:eastAsia="zh-CN"/>
        </w:rPr>
        <w:t>单位</w:t>
      </w:r>
      <w:r>
        <w:rPr>
          <w:rFonts w:hint="eastAsia"/>
          <w:color w:val="auto"/>
          <w:highlight w:val="none"/>
        </w:rPr>
        <w:t>均予承认，所产生的法律后果均由我单位承担。</w:t>
      </w:r>
    </w:p>
    <w:p>
      <w:pPr>
        <w:pStyle w:val="29"/>
        <w:bidi w:val="0"/>
        <w:rPr>
          <w:rFonts w:hint="eastAsia"/>
          <w:color w:val="auto"/>
          <w:highlight w:val="none"/>
        </w:rPr>
      </w:pPr>
      <w:r>
        <w:rPr>
          <w:rFonts w:hint="eastAsia"/>
          <w:color w:val="auto"/>
          <w:highlight w:val="none"/>
        </w:rPr>
        <w:t>特此声明。</w:t>
      </w: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w:t>
      </w:r>
      <w:r>
        <w:rPr>
          <w:rFonts w:hint="eastAsia"/>
          <w:color w:val="auto"/>
          <w:highlight w:val="none"/>
        </w:rPr>
        <w:t>签字</w:t>
      </w:r>
      <w:r>
        <w:rPr>
          <w:rFonts w:hint="eastAsia"/>
          <w:color w:val="auto"/>
          <w:highlight w:val="none"/>
          <w:lang w:eastAsia="zh-CN"/>
        </w:rPr>
        <w:t>或盖章</w:t>
      </w:r>
      <w:r>
        <w:rPr>
          <w:rFonts w:hint="eastAsia"/>
          <w:color w:val="auto"/>
          <w:highlight w:val="none"/>
          <w:lang w:val="en-US" w:eastAsia="zh-CN"/>
        </w:rPr>
        <w:t>)</w:t>
      </w:r>
    </w:p>
    <w:p>
      <w:pPr>
        <w:pStyle w:val="29"/>
        <w:bidi w:val="0"/>
        <w:rPr>
          <w:rFonts w:hint="eastAsia"/>
          <w:color w:val="auto"/>
          <w:highlight w:val="none"/>
        </w:rPr>
      </w:pPr>
      <w:r>
        <w:rPr>
          <w:rFonts w:hint="eastAsia"/>
          <w:color w:val="auto"/>
          <w:highlight w:val="none"/>
        </w:rPr>
        <w:t>授权代表：</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w:t>
      </w:r>
      <w:r>
        <w:rPr>
          <w:rFonts w:hint="eastAsia"/>
          <w:color w:val="auto"/>
          <w:highlight w:val="none"/>
        </w:rPr>
        <w:t>签字</w:t>
      </w:r>
      <w:r>
        <w:rPr>
          <w:rFonts w:hint="eastAsia"/>
          <w:color w:val="auto"/>
          <w:highlight w:val="none"/>
          <w:lang w:eastAsia="zh-CN"/>
        </w:rPr>
        <w:t>或盖章</w:t>
      </w:r>
      <w:r>
        <w:rPr>
          <w:rFonts w:hint="eastAsia"/>
          <w:color w:val="auto"/>
          <w:highlight w:val="none"/>
          <w:lang w:val="en-US" w:eastAsia="zh-CN"/>
        </w:rPr>
        <w:t>)</w:t>
      </w: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 xml:space="preserve">     </w:t>
      </w:r>
    </w:p>
    <w:p>
      <w:pPr>
        <w:pStyle w:val="25"/>
        <w:bidi w:val="0"/>
        <w:rPr>
          <w:rFonts w:hint="eastAsia"/>
          <w:color w:val="auto"/>
          <w:highlight w:val="none"/>
        </w:rPr>
      </w:pPr>
    </w:p>
    <w:p>
      <w:pPr>
        <w:pStyle w:val="50"/>
        <w:bidi w:val="0"/>
        <w:rPr>
          <w:rFonts w:hint="eastAsia"/>
          <w:color w:val="auto"/>
          <w:highlight w:val="none"/>
        </w:rPr>
      </w:pPr>
      <w:r>
        <w:rPr>
          <w:rFonts w:hint="eastAsia"/>
          <w:color w:val="auto"/>
          <w:highlight w:val="none"/>
        </w:rPr>
        <w:t>注：</w:t>
      </w:r>
      <w:r>
        <w:rPr>
          <w:rFonts w:hint="eastAsia"/>
          <w:color w:val="auto"/>
          <w:highlight w:val="none"/>
          <w:lang w:val="en-US" w:eastAsia="zh-CN"/>
        </w:rPr>
        <w:t>1.法定代表人/单位负责人</w:t>
      </w:r>
      <w:r>
        <w:rPr>
          <w:rFonts w:hint="eastAsia"/>
          <w:color w:val="auto"/>
          <w:highlight w:val="none"/>
        </w:rPr>
        <w:t>不亲自参加</w:t>
      </w:r>
      <w:r>
        <w:rPr>
          <w:rFonts w:hint="eastAsia"/>
          <w:color w:val="auto"/>
          <w:highlight w:val="none"/>
          <w:lang w:val="en-US" w:eastAsia="zh-CN"/>
        </w:rPr>
        <w:t>投标</w:t>
      </w:r>
      <w:r>
        <w:rPr>
          <w:rFonts w:hint="eastAsia"/>
          <w:color w:val="auto"/>
          <w:highlight w:val="none"/>
        </w:rPr>
        <w:t>，而授权代表参加</w:t>
      </w:r>
      <w:r>
        <w:rPr>
          <w:rFonts w:hint="eastAsia"/>
          <w:color w:val="auto"/>
          <w:highlight w:val="none"/>
          <w:lang w:val="en-US" w:eastAsia="zh-CN"/>
        </w:rPr>
        <w:t>投标</w:t>
      </w:r>
      <w:r>
        <w:rPr>
          <w:rFonts w:hint="eastAsia"/>
          <w:color w:val="auto"/>
          <w:highlight w:val="none"/>
        </w:rPr>
        <w:t>的适用。</w:t>
      </w:r>
    </w:p>
    <w:p>
      <w:pPr>
        <w:pStyle w:val="50"/>
        <w:bidi w:val="0"/>
        <w:rPr>
          <w:color w:val="auto"/>
          <w:highlight w:val="none"/>
        </w:rPr>
      </w:pPr>
      <w:r>
        <w:rPr>
          <w:rFonts w:hint="eastAsia"/>
          <w:color w:val="auto"/>
          <w:highlight w:val="none"/>
          <w:lang w:val="en-US" w:eastAsia="zh-CN"/>
        </w:rPr>
        <w:t>2.</w:t>
      </w:r>
      <w:r>
        <w:rPr>
          <w:color w:val="auto"/>
          <w:highlight w:val="none"/>
        </w:rPr>
        <w:t>供应商为法人单位时提供“法定代表人授权书”，供应商为其他组织时提供“负责人授权书”，供应商为自然人时提供“自然人身份证明材料”。</w:t>
      </w:r>
    </w:p>
    <w:p>
      <w:pPr>
        <w:pStyle w:val="50"/>
        <w:bidi w:val="0"/>
        <w:rPr>
          <w:color w:val="auto"/>
          <w:highlight w:val="none"/>
        </w:rPr>
      </w:pPr>
      <w:r>
        <w:rPr>
          <w:rFonts w:hint="eastAsia"/>
          <w:color w:val="auto"/>
          <w:highlight w:val="none"/>
          <w:lang w:val="en-US" w:eastAsia="zh-CN"/>
        </w:rPr>
        <w:t>3.</w:t>
      </w:r>
      <w:r>
        <w:rPr>
          <w:color w:val="auto"/>
          <w:highlight w:val="none"/>
        </w:rPr>
        <w:t>应附法定代表人/单位负责人身份证明材料复印件和授权代表身份证明材料复印件。</w:t>
      </w:r>
    </w:p>
    <w:p>
      <w:pPr>
        <w:pStyle w:val="50"/>
        <w:bidi w:val="0"/>
        <w:rPr>
          <w:color w:val="auto"/>
          <w:highlight w:val="none"/>
        </w:rPr>
      </w:pPr>
      <w:r>
        <w:rPr>
          <w:rFonts w:hint="eastAsia"/>
          <w:color w:val="auto"/>
          <w:highlight w:val="none"/>
          <w:lang w:val="en-US" w:eastAsia="zh-CN"/>
        </w:rPr>
        <w:t>4.</w:t>
      </w:r>
      <w:r>
        <w:rPr>
          <w:color w:val="auto"/>
          <w:highlight w:val="none"/>
        </w:rPr>
        <w:t>身份证明材料包括居民身份证或户口本或军官证或护照等。</w:t>
      </w:r>
    </w:p>
    <w:p>
      <w:pPr>
        <w:pStyle w:val="50"/>
        <w:bidi w:val="0"/>
        <w:rPr>
          <w:rFonts w:hint="eastAsia"/>
          <w:color w:val="auto"/>
          <w:highlight w:val="none"/>
          <w:lang w:val="en-US" w:eastAsia="zh-CN"/>
        </w:rPr>
      </w:pPr>
      <w:r>
        <w:rPr>
          <w:rFonts w:hint="eastAsia"/>
          <w:color w:val="auto"/>
          <w:highlight w:val="none"/>
          <w:lang w:val="en-US" w:eastAsia="zh-CN"/>
        </w:rPr>
        <w:t>5.</w:t>
      </w:r>
      <w:r>
        <w:rPr>
          <w:color w:val="auto"/>
          <w:highlight w:val="none"/>
        </w:rPr>
        <w:t>身份证明材料应同时提供其在有效期的材料，如居民身份证正、反面复印件</w:t>
      </w:r>
      <w:r>
        <w:rPr>
          <w:rFonts w:hint="eastAsia"/>
          <w:color w:val="auto"/>
          <w:highlight w:val="none"/>
          <w:lang w:eastAsia="zh-CN"/>
        </w:rPr>
        <w:t>。</w:t>
      </w:r>
    </w:p>
    <w:p>
      <w:pPr>
        <w:pStyle w:val="25"/>
        <w:bidi w:val="0"/>
        <w:rPr>
          <w:rFonts w:hint="eastAsia"/>
          <w:color w:val="auto"/>
          <w:highlight w:val="none"/>
        </w:rPr>
      </w:pPr>
      <w:r>
        <w:rPr>
          <w:rFonts w:hint="eastAsia"/>
          <w:color w:val="auto"/>
          <w:highlight w:val="none"/>
        </w:rPr>
        <w:br w:type="page"/>
      </w:r>
    </w:p>
    <w:p>
      <w:pPr>
        <w:pStyle w:val="48"/>
        <w:numPr>
          <w:ilvl w:val="0"/>
          <w:numId w:val="19"/>
        </w:numPr>
        <w:bidi w:val="0"/>
        <w:ind w:left="0" w:leftChars="0" w:firstLine="0" w:firstLineChars="0"/>
        <w:rPr>
          <w:rFonts w:hint="eastAsia"/>
          <w:color w:val="auto"/>
          <w:highlight w:val="none"/>
          <w:lang w:val="en-US" w:eastAsia="zh-CN"/>
        </w:rPr>
      </w:pPr>
      <w:bookmarkStart w:id="848" w:name="_Toc5501"/>
      <w:bookmarkStart w:id="849" w:name="_Toc3148"/>
      <w:bookmarkStart w:id="850" w:name="_Toc9243"/>
      <w:bookmarkStart w:id="851" w:name="_Toc22140"/>
      <w:bookmarkStart w:id="852" w:name="_Toc9688"/>
      <w:r>
        <w:rPr>
          <w:rFonts w:hint="eastAsia"/>
          <w:color w:val="auto"/>
          <w:highlight w:val="none"/>
          <w:lang w:val="en-US" w:eastAsia="zh-CN"/>
        </w:rPr>
        <w:t>法定代表人/单位负责人证明书</w:t>
      </w:r>
      <w:bookmarkEnd w:id="848"/>
      <w:bookmarkEnd w:id="849"/>
      <w:bookmarkEnd w:id="850"/>
      <w:bookmarkEnd w:id="851"/>
      <w:bookmarkEnd w:id="852"/>
    </w:p>
    <w:p>
      <w:pPr>
        <w:pStyle w:val="29"/>
        <w:bidi w:val="0"/>
        <w:rPr>
          <w:rFonts w:hint="eastAsia"/>
          <w:color w:val="auto"/>
          <w:highlight w:val="none"/>
        </w:rPr>
      </w:pPr>
      <w:r>
        <w:rPr>
          <w:rFonts w:hint="eastAsia"/>
          <w:color w:val="auto"/>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29"/>
        <w:bidi w:val="0"/>
        <w:rPr>
          <w:rFonts w:hint="eastAsia"/>
          <w:color w:val="auto"/>
          <w:highlight w:val="none"/>
        </w:rPr>
      </w:pPr>
      <w:r>
        <w:rPr>
          <w:rFonts w:hint="eastAsia"/>
          <w:color w:val="auto"/>
          <w:highlight w:val="none"/>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29"/>
        <w:bidi w:val="0"/>
        <w:rPr>
          <w:rFonts w:hint="eastAsia"/>
          <w:color w:val="auto"/>
          <w:highlight w:val="none"/>
        </w:rPr>
      </w:pPr>
      <w:r>
        <w:rPr>
          <w:rFonts w:hint="eastAsia"/>
          <w:color w:val="auto"/>
          <w:highlight w:val="none"/>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29"/>
        <w:bidi w:val="0"/>
        <w:rPr>
          <w:rFonts w:hint="eastAsia"/>
          <w:color w:val="auto"/>
          <w:highlight w:val="none"/>
        </w:rPr>
      </w:pPr>
      <w:r>
        <w:rPr>
          <w:rFonts w:hint="eastAsia"/>
          <w:color w:val="auto"/>
          <w:highlight w:val="none"/>
        </w:rPr>
        <w:t>本人系</w:t>
      </w:r>
      <w:r>
        <w:rPr>
          <w:rFonts w:hint="eastAsia"/>
          <w:color w:val="auto"/>
          <w:highlight w:val="none"/>
          <w:u w:val="single"/>
        </w:rPr>
        <w:t xml:space="preserve">                           </w:t>
      </w:r>
      <w:r>
        <w:rPr>
          <w:rFonts w:hint="eastAsia"/>
          <w:color w:val="auto"/>
          <w:highlight w:val="none"/>
        </w:rPr>
        <w:t>(</w:t>
      </w:r>
      <w:r>
        <w:rPr>
          <w:rFonts w:hint="eastAsia"/>
          <w:color w:val="auto"/>
          <w:highlight w:val="none"/>
          <w:lang w:val="en-US" w:eastAsia="zh-CN"/>
        </w:rPr>
        <w:t>投标人</w:t>
      </w:r>
      <w:r>
        <w:rPr>
          <w:rFonts w:hint="eastAsia"/>
          <w:color w:val="auto"/>
          <w:highlight w:val="none"/>
        </w:rPr>
        <w:t>名称)的法定代表人</w:t>
      </w:r>
      <w:r>
        <w:rPr>
          <w:rFonts w:hint="eastAsia"/>
          <w:color w:val="auto"/>
          <w:highlight w:val="none"/>
          <w:lang w:val="en-US" w:eastAsia="zh-CN"/>
        </w:rPr>
        <w:t>/单位负责人</w:t>
      </w:r>
      <w:r>
        <w:rPr>
          <w:rFonts w:hint="eastAsia"/>
          <w:color w:val="auto"/>
          <w:highlight w:val="none"/>
        </w:rPr>
        <w:t>。就参加你单位组织的“</w:t>
      </w:r>
      <w:r>
        <w:rPr>
          <w:rFonts w:hint="eastAsia"/>
          <w:color w:val="auto"/>
          <w:highlight w:val="none"/>
          <w:u w:val="single"/>
        </w:rPr>
        <w:t xml:space="preserve">             </w:t>
      </w:r>
      <w:r>
        <w:rPr>
          <w:rFonts w:hint="eastAsia"/>
          <w:color w:val="auto"/>
          <w:highlight w:val="none"/>
          <w:lang w:eastAsia="zh-CN"/>
        </w:rPr>
        <w:t>(</w:t>
      </w:r>
      <w:r>
        <w:rPr>
          <w:rFonts w:hint="eastAsia"/>
          <w:color w:val="auto"/>
          <w:highlight w:val="none"/>
          <w:lang w:val="en-US" w:eastAsia="zh-CN"/>
        </w:rPr>
        <w:t>项目名称</w:t>
      </w:r>
      <w:r>
        <w:rPr>
          <w:rFonts w:hint="eastAsia"/>
          <w:color w:val="auto"/>
          <w:highlight w:val="none"/>
          <w:lang w:eastAsia="zh-CN"/>
        </w:rPr>
        <w:t>)</w:t>
      </w:r>
      <w:r>
        <w:rPr>
          <w:rFonts w:hint="eastAsia"/>
          <w:color w:val="auto"/>
          <w:highlight w:val="none"/>
        </w:rPr>
        <w:t>(项目编号</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)”的</w:t>
      </w:r>
      <w:r>
        <w:rPr>
          <w:rFonts w:hint="eastAsia"/>
          <w:color w:val="auto"/>
          <w:highlight w:val="none"/>
          <w:lang w:val="en-US" w:eastAsia="zh-CN"/>
        </w:rPr>
        <w:t>投标</w:t>
      </w:r>
      <w:r>
        <w:rPr>
          <w:rFonts w:hint="eastAsia"/>
          <w:color w:val="auto"/>
          <w:highlight w:val="none"/>
        </w:rPr>
        <w:t>活动、并参与项目的</w:t>
      </w:r>
      <w:r>
        <w:rPr>
          <w:rFonts w:hint="eastAsia"/>
          <w:color w:val="auto"/>
          <w:highlight w:val="none"/>
          <w:lang w:val="en-US" w:eastAsia="zh-CN"/>
        </w:rPr>
        <w:t>投标</w:t>
      </w:r>
      <w:r>
        <w:rPr>
          <w:rFonts w:hint="eastAsia"/>
          <w:color w:val="auto"/>
          <w:highlight w:val="none"/>
        </w:rPr>
        <w:t>、签订合同以及执行合同等一切事宜，我</w:t>
      </w:r>
      <w:r>
        <w:rPr>
          <w:rFonts w:hint="eastAsia"/>
          <w:color w:val="auto"/>
          <w:highlight w:val="none"/>
          <w:lang w:val="en-US" w:eastAsia="zh-CN"/>
        </w:rPr>
        <w:t>单位</w:t>
      </w:r>
      <w:r>
        <w:rPr>
          <w:rFonts w:hint="eastAsia"/>
          <w:color w:val="auto"/>
          <w:highlight w:val="none"/>
        </w:rPr>
        <w:t>均予承认，所产生的法律后果均由我单位承担。</w:t>
      </w:r>
    </w:p>
    <w:p>
      <w:pPr>
        <w:pStyle w:val="29"/>
        <w:bidi w:val="0"/>
        <w:rPr>
          <w:rFonts w:hint="eastAsia"/>
          <w:color w:val="auto"/>
          <w:highlight w:val="none"/>
        </w:rPr>
      </w:pPr>
      <w:r>
        <w:rPr>
          <w:rFonts w:hint="eastAsia"/>
          <w:color w:val="auto"/>
          <w:highlight w:val="none"/>
        </w:rPr>
        <w:t>特此证明。</w:t>
      </w: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(盖章) </w:t>
      </w:r>
    </w:p>
    <w:p>
      <w:pPr>
        <w:pStyle w:val="29"/>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(签字或盖章)</w:t>
      </w:r>
    </w:p>
    <w:p>
      <w:pPr>
        <w:pStyle w:val="29"/>
        <w:bidi w:val="0"/>
        <w:rPr>
          <w:rFonts w:hint="eastAsia"/>
          <w:color w:val="auto"/>
          <w:highlight w:val="none"/>
          <w:u w:val="single"/>
        </w:rPr>
      </w:pPr>
      <w:r>
        <w:rPr>
          <w:rFonts w:hint="eastAsia"/>
          <w:color w:val="auto"/>
          <w:highlight w:val="none"/>
          <w:lang w:val="en-US" w:eastAsia="zh-CN"/>
        </w:rPr>
        <w:t>投标</w:t>
      </w: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29"/>
        <w:bidi w:val="0"/>
        <w:rPr>
          <w:rFonts w:hint="eastAsia"/>
          <w:color w:val="auto"/>
          <w:highlight w:val="none"/>
        </w:rPr>
      </w:pPr>
    </w:p>
    <w:p>
      <w:pPr>
        <w:pStyle w:val="50"/>
        <w:bidi w:val="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法定代表人</w:t>
      </w:r>
      <w:r>
        <w:rPr>
          <w:color w:val="auto"/>
          <w:highlight w:val="none"/>
        </w:rPr>
        <w:t>/单位负责人</w:t>
      </w:r>
      <w:r>
        <w:rPr>
          <w:rFonts w:hint="eastAsia"/>
          <w:color w:val="auto"/>
          <w:highlight w:val="none"/>
        </w:rPr>
        <w:t>亲自参加</w:t>
      </w:r>
      <w:r>
        <w:rPr>
          <w:rFonts w:hint="eastAsia"/>
          <w:color w:val="auto"/>
          <w:highlight w:val="none"/>
          <w:lang w:val="en-US" w:eastAsia="zh-CN"/>
        </w:rPr>
        <w:t>投标</w:t>
      </w:r>
      <w:r>
        <w:rPr>
          <w:rFonts w:hint="eastAsia"/>
          <w:color w:val="auto"/>
          <w:highlight w:val="none"/>
        </w:rPr>
        <w:t>时适用本证明书。</w:t>
      </w:r>
    </w:p>
    <w:p>
      <w:pPr>
        <w:pStyle w:val="50"/>
        <w:bidi w:val="0"/>
        <w:rPr>
          <w:color w:val="auto"/>
          <w:highlight w:val="none"/>
        </w:rPr>
      </w:pPr>
      <w:r>
        <w:rPr>
          <w:rFonts w:hint="eastAsia"/>
          <w:color w:val="auto"/>
          <w:highlight w:val="none"/>
          <w:lang w:val="en-US" w:eastAsia="zh-CN"/>
        </w:rPr>
        <w:t>2.</w:t>
      </w:r>
      <w:r>
        <w:rPr>
          <w:color w:val="auto"/>
          <w:highlight w:val="none"/>
        </w:rPr>
        <w:t>应附法定代表人/单位负责人身份证明材料复印件。</w:t>
      </w:r>
    </w:p>
    <w:p>
      <w:pPr>
        <w:pStyle w:val="50"/>
        <w:bidi w:val="0"/>
        <w:rPr>
          <w:color w:val="auto"/>
          <w:highlight w:val="none"/>
        </w:rPr>
      </w:pPr>
      <w:r>
        <w:rPr>
          <w:rFonts w:hint="eastAsia"/>
          <w:color w:val="auto"/>
          <w:highlight w:val="none"/>
          <w:lang w:val="en-US" w:eastAsia="zh-CN"/>
        </w:rPr>
        <w:t>3.</w:t>
      </w:r>
      <w:r>
        <w:rPr>
          <w:color w:val="auto"/>
          <w:highlight w:val="none"/>
        </w:rPr>
        <w:t>身份证明材料包括居民身份证或户口本或军官证或护照等。</w:t>
      </w:r>
    </w:p>
    <w:p>
      <w:pPr>
        <w:pStyle w:val="50"/>
        <w:bidi w:val="0"/>
        <w:rPr>
          <w:rFonts w:hint="eastAsia"/>
          <w:color w:val="auto"/>
          <w:highlight w:val="none"/>
          <w:lang w:eastAsia="zh-CN"/>
        </w:rPr>
      </w:pPr>
      <w:r>
        <w:rPr>
          <w:rFonts w:hint="eastAsia"/>
          <w:color w:val="auto"/>
          <w:highlight w:val="none"/>
          <w:lang w:val="en-US" w:eastAsia="zh-CN"/>
        </w:rPr>
        <w:t>4.</w:t>
      </w:r>
      <w:r>
        <w:rPr>
          <w:color w:val="auto"/>
          <w:highlight w:val="none"/>
        </w:rPr>
        <w:t>身份证明材料应同时提供其在有效期的材料，如居民身份证正、反面复印件</w:t>
      </w:r>
      <w:r>
        <w:rPr>
          <w:rFonts w:hint="eastAsia"/>
          <w:color w:val="auto"/>
          <w:highlight w:val="none"/>
          <w:lang w:eastAsia="zh-CN"/>
        </w:rPr>
        <w:t>。</w:t>
      </w:r>
    </w:p>
    <w:p>
      <w:pPr>
        <w:pStyle w:val="48"/>
        <w:numPr>
          <w:ilvl w:val="0"/>
          <w:numId w:val="19"/>
        </w:numPr>
        <w:bidi w:val="0"/>
        <w:ind w:left="0" w:leftChars="0" w:firstLine="0" w:firstLineChars="0"/>
        <w:rPr>
          <w:rFonts w:hint="eastAsia"/>
          <w:color w:val="auto"/>
          <w:highlight w:val="none"/>
          <w:lang w:val="en-US" w:eastAsia="zh-CN"/>
        </w:rPr>
      </w:pPr>
      <w:bookmarkStart w:id="853" w:name="_Toc22152"/>
      <w:bookmarkStart w:id="854" w:name="_Toc28837"/>
      <w:bookmarkStart w:id="855" w:name="_Toc16946"/>
      <w:bookmarkStart w:id="856" w:name="_Toc28397"/>
      <w:bookmarkStart w:id="857" w:name="_Toc3822"/>
      <w:bookmarkStart w:id="858" w:name="_Toc29937"/>
      <w:bookmarkStart w:id="859" w:name="_Toc28024"/>
      <w:bookmarkStart w:id="860" w:name="_Toc14566"/>
      <w:r>
        <w:rPr>
          <w:rFonts w:hint="eastAsia"/>
          <w:color w:val="auto"/>
          <w:highlight w:val="none"/>
          <w:lang w:val="en-US" w:eastAsia="zh-CN"/>
        </w:rPr>
        <w:t>具有独立承担民事责任的能力的证明材料</w:t>
      </w:r>
      <w:bookmarkEnd w:id="853"/>
      <w:bookmarkEnd w:id="854"/>
      <w:bookmarkEnd w:id="855"/>
    </w:p>
    <w:p>
      <w:pPr>
        <w:pStyle w:val="29"/>
        <w:bidi w:val="0"/>
        <w:rPr>
          <w:rFonts w:hint="eastAsia"/>
          <w:color w:val="auto"/>
          <w:highlight w:val="none"/>
          <w:lang w:eastAsia="zh-CN"/>
        </w:rPr>
      </w:pPr>
      <w:r>
        <w:rPr>
          <w:rFonts w:hint="eastAsia"/>
          <w:color w:val="auto"/>
          <w:highlight w:val="none"/>
        </w:rPr>
        <w:t>①</w:t>
      </w:r>
      <w:r>
        <w:rPr>
          <w:rFonts w:hint="eastAsia"/>
          <w:color w:val="auto"/>
          <w:highlight w:val="none"/>
          <w:lang w:val="en-US" w:eastAsia="zh-CN"/>
        </w:rPr>
        <w:t>投标人</w:t>
      </w:r>
      <w:r>
        <w:rPr>
          <w:rFonts w:hint="eastAsia"/>
          <w:color w:val="auto"/>
          <w:highlight w:val="none"/>
        </w:rPr>
        <w:t>若为企业法人：提供“营业执照”</w:t>
      </w:r>
      <w:r>
        <w:rPr>
          <w:rFonts w:hint="eastAsia"/>
          <w:color w:val="auto"/>
          <w:highlight w:val="none"/>
          <w:lang w:val="en-US" w:eastAsia="zh-CN"/>
        </w:rPr>
        <w:t>副本复印件</w:t>
      </w:r>
      <w:r>
        <w:rPr>
          <w:rFonts w:hint="eastAsia"/>
          <w:color w:val="auto"/>
          <w:highlight w:val="none"/>
        </w:rPr>
        <w:t>；未换证的提供“营业执照</w:t>
      </w:r>
      <w:r>
        <w:rPr>
          <w:rFonts w:hint="eastAsia"/>
          <w:color w:val="auto"/>
          <w:highlight w:val="none"/>
          <w:lang w:val="en-US" w:eastAsia="zh-CN"/>
        </w:rPr>
        <w:t>副本</w:t>
      </w:r>
      <w:r>
        <w:rPr>
          <w:rFonts w:hint="eastAsia"/>
          <w:color w:val="auto"/>
          <w:highlight w:val="none"/>
        </w:rPr>
        <w:t>、税务登记证</w:t>
      </w:r>
      <w:r>
        <w:rPr>
          <w:rFonts w:hint="eastAsia"/>
          <w:color w:val="auto"/>
          <w:highlight w:val="none"/>
          <w:lang w:val="en-US" w:eastAsia="zh-CN"/>
        </w:rPr>
        <w:t>副本</w:t>
      </w:r>
      <w:r>
        <w:rPr>
          <w:rFonts w:hint="eastAsia"/>
          <w:color w:val="auto"/>
          <w:highlight w:val="none"/>
        </w:rPr>
        <w:t>、组织机构代码证</w:t>
      </w:r>
      <w:r>
        <w:rPr>
          <w:rFonts w:hint="eastAsia"/>
          <w:color w:val="auto"/>
          <w:highlight w:val="none"/>
          <w:lang w:val="en-US" w:eastAsia="zh-CN"/>
        </w:rPr>
        <w:t>副本</w:t>
      </w:r>
      <w:r>
        <w:rPr>
          <w:rFonts w:hint="eastAsia"/>
          <w:color w:val="auto"/>
          <w:highlight w:val="none"/>
        </w:rPr>
        <w:t>”</w:t>
      </w:r>
      <w:r>
        <w:rPr>
          <w:rFonts w:hint="eastAsia"/>
          <w:color w:val="auto"/>
          <w:highlight w:val="none"/>
          <w:lang w:val="en-US" w:eastAsia="zh-CN"/>
        </w:rPr>
        <w:t>复印件</w:t>
      </w:r>
      <w:r>
        <w:rPr>
          <w:rFonts w:hint="eastAsia"/>
          <w:color w:val="auto"/>
          <w:highlight w:val="none"/>
        </w:rPr>
        <w:t>；②若为事业法人：提供“统一社会信用代码法人登记证书”</w:t>
      </w:r>
      <w:r>
        <w:rPr>
          <w:rFonts w:hint="eastAsia"/>
          <w:color w:val="auto"/>
          <w:highlight w:val="none"/>
          <w:lang w:val="en-US" w:eastAsia="zh-CN"/>
        </w:rPr>
        <w:t>复印件</w:t>
      </w:r>
      <w:r>
        <w:rPr>
          <w:rFonts w:hint="eastAsia"/>
          <w:color w:val="auto"/>
          <w:highlight w:val="none"/>
        </w:rPr>
        <w:t>；未换证的提交“事业法人登记证书、组织机构代码证”</w:t>
      </w:r>
      <w:r>
        <w:rPr>
          <w:rFonts w:hint="eastAsia"/>
          <w:color w:val="auto"/>
          <w:highlight w:val="none"/>
          <w:lang w:val="en-US" w:eastAsia="zh-CN"/>
        </w:rPr>
        <w:t>复印件</w:t>
      </w:r>
      <w:r>
        <w:rPr>
          <w:rFonts w:hint="eastAsia"/>
          <w:color w:val="auto"/>
          <w:highlight w:val="none"/>
        </w:rPr>
        <w:t>；③若为其他组织：提供“对应主管部门颁发的准许执业证明文件或营业执照</w:t>
      </w:r>
      <w:r>
        <w:rPr>
          <w:rFonts w:hint="eastAsia"/>
          <w:color w:val="auto"/>
          <w:highlight w:val="none"/>
          <w:lang w:val="en-US" w:eastAsia="zh-CN"/>
        </w:rPr>
        <w:t>副本</w:t>
      </w:r>
      <w:r>
        <w:rPr>
          <w:rFonts w:hint="eastAsia"/>
          <w:color w:val="auto"/>
          <w:highlight w:val="none"/>
        </w:rPr>
        <w:t>”</w:t>
      </w:r>
      <w:r>
        <w:rPr>
          <w:rFonts w:hint="eastAsia"/>
          <w:color w:val="auto"/>
          <w:highlight w:val="none"/>
          <w:lang w:val="en-US" w:eastAsia="zh-CN"/>
        </w:rPr>
        <w:t>复印件</w:t>
      </w:r>
      <w:r>
        <w:rPr>
          <w:rFonts w:hint="eastAsia"/>
          <w:color w:val="auto"/>
          <w:highlight w:val="none"/>
        </w:rPr>
        <w:t>；④若为自然人：提供“身份证明材料”</w:t>
      </w:r>
      <w:r>
        <w:rPr>
          <w:rFonts w:hint="eastAsia"/>
          <w:color w:val="auto"/>
          <w:highlight w:val="none"/>
          <w:lang w:eastAsia="zh-CN"/>
        </w:rPr>
        <w:t>。</w:t>
      </w:r>
    </w:p>
    <w:bookmarkEnd w:id="856"/>
    <w:p>
      <w:pPr>
        <w:pStyle w:val="50"/>
        <w:bidi w:val="0"/>
        <w:rPr>
          <w:rFonts w:hint="eastAsia"/>
          <w:color w:val="auto"/>
          <w:highlight w:val="none"/>
          <w:lang w:val="en-US" w:eastAsia="zh-CN"/>
        </w:rPr>
      </w:pPr>
      <w:r>
        <w:rPr>
          <w:rFonts w:hint="eastAsia"/>
          <w:color w:val="auto"/>
          <w:highlight w:val="none"/>
          <w:lang w:val="en-US" w:eastAsia="zh-CN"/>
        </w:rPr>
        <w:t>注：1.以上证明材料应满足此条要求①发证机关有年检要求的，应按规定通过年检；②在有效期内；③复印件加盖投标人公章；</w:t>
      </w:r>
    </w:p>
    <w:p>
      <w:pPr>
        <w:pStyle w:val="50"/>
        <w:bidi w:val="0"/>
        <w:rPr>
          <w:rFonts w:hint="eastAsia"/>
          <w:color w:val="auto"/>
          <w:highlight w:val="none"/>
          <w:lang w:val="en-US" w:eastAsia="zh-CN"/>
        </w:rPr>
      </w:pPr>
      <w:r>
        <w:rPr>
          <w:rFonts w:hint="eastAsia"/>
          <w:color w:val="auto"/>
          <w:highlight w:val="none"/>
          <w:lang w:val="en-US" w:eastAsia="zh-CN"/>
        </w:rPr>
        <w:t>2.</w:t>
      </w:r>
      <w:bookmarkEnd w:id="857"/>
      <w:r>
        <w:rPr>
          <w:rFonts w:hint="eastAsia"/>
          <w:color w:val="auto"/>
          <w:highlight w:val="none"/>
          <w:lang w:val="en-US" w:eastAsia="zh-CN"/>
        </w:rPr>
        <w:t>企业若已更换为三证合一的则提供营业执照副本复印件，事业单位提供事业单位法人证书复印件，其他组织提供执业许可证或营业执照等证明文件复印件，自然人提供身份证明均具备此条同等效力；</w:t>
      </w:r>
    </w:p>
    <w:p>
      <w:pPr>
        <w:pStyle w:val="50"/>
        <w:bidi w:val="0"/>
        <w:rPr>
          <w:color w:val="auto"/>
          <w:highlight w:val="none"/>
        </w:rPr>
      </w:pPr>
      <w:r>
        <w:rPr>
          <w:rFonts w:hint="eastAsia"/>
          <w:color w:val="auto"/>
          <w:highlight w:val="none"/>
          <w:lang w:val="en-US" w:eastAsia="zh-CN"/>
        </w:rPr>
        <w:t>3.</w:t>
      </w:r>
      <w:r>
        <w:rPr>
          <w:color w:val="auto"/>
          <w:highlight w:val="none"/>
        </w:rPr>
        <w:t>根据国务院办公厅关于加快推进“多证合一”改革的指导意见</w:t>
      </w:r>
      <w:r>
        <w:rPr>
          <w:rFonts w:hint="eastAsia"/>
          <w:color w:val="auto"/>
          <w:highlight w:val="none"/>
          <w:lang w:eastAsia="zh-CN"/>
        </w:rPr>
        <w:t>(</w:t>
      </w:r>
      <w:r>
        <w:rPr>
          <w:color w:val="auto"/>
          <w:highlight w:val="none"/>
        </w:rPr>
        <w:t>国办发</w:t>
      </w:r>
      <w:r>
        <w:rPr>
          <w:rFonts w:hint="eastAsia"/>
          <w:color w:val="auto"/>
          <w:highlight w:val="none"/>
          <w:lang w:val="en-US" w:eastAsia="zh-CN"/>
        </w:rPr>
        <w:t>〔</w:t>
      </w:r>
      <w:r>
        <w:rPr>
          <w:color w:val="auto"/>
          <w:highlight w:val="none"/>
        </w:rPr>
        <w:t>2017</w:t>
      </w:r>
      <w:r>
        <w:rPr>
          <w:rFonts w:hint="eastAsia"/>
          <w:color w:val="auto"/>
          <w:highlight w:val="none"/>
          <w:lang w:val="en-US" w:eastAsia="zh-CN"/>
        </w:rPr>
        <w:t>〕</w:t>
      </w:r>
      <w:r>
        <w:rPr>
          <w:color w:val="auto"/>
          <w:highlight w:val="none"/>
        </w:rPr>
        <w:t>41号</w:t>
      </w:r>
      <w:r>
        <w:rPr>
          <w:rFonts w:hint="eastAsia"/>
          <w:color w:val="auto"/>
          <w:highlight w:val="none"/>
          <w:lang w:eastAsia="zh-CN"/>
        </w:rPr>
        <w:t>)</w:t>
      </w:r>
      <w:r>
        <w:rPr>
          <w:color w:val="auto"/>
          <w:highlight w:val="none"/>
        </w:rPr>
        <w:t>等政策要求，若资格要求涉及的登记、备案等有关事项和各类证照已实行多证合一</w:t>
      </w:r>
      <w:r>
        <w:rPr>
          <w:rFonts w:hint="eastAsia"/>
          <w:color w:val="auto"/>
          <w:highlight w:val="none"/>
          <w:lang w:val="en-US" w:eastAsia="zh-CN"/>
        </w:rPr>
        <w:t>的，</w:t>
      </w:r>
      <w:r>
        <w:rPr>
          <w:rFonts w:hint="eastAsia"/>
          <w:color w:val="auto"/>
          <w:highlight w:val="none"/>
          <w:lang w:eastAsia="zh-CN"/>
        </w:rPr>
        <w:t>提供多证合一证照</w:t>
      </w:r>
      <w:r>
        <w:rPr>
          <w:rFonts w:hint="eastAsia"/>
          <w:color w:val="auto"/>
          <w:highlight w:val="none"/>
          <w:lang w:val="en-US" w:eastAsia="zh-CN"/>
        </w:rPr>
        <w:t>副本</w:t>
      </w:r>
      <w:r>
        <w:rPr>
          <w:rFonts w:hint="eastAsia"/>
          <w:color w:val="auto"/>
          <w:highlight w:val="none"/>
          <w:lang w:eastAsia="zh-CN"/>
        </w:rPr>
        <w:t>复印件</w:t>
      </w:r>
      <w:r>
        <w:rPr>
          <w:color w:val="auto"/>
          <w:highlight w:val="none"/>
        </w:rPr>
        <w:t>。</w:t>
      </w:r>
    </w:p>
    <w:p>
      <w:pPr>
        <w:pStyle w:val="25"/>
        <w:bidi w:val="0"/>
        <w:rPr>
          <w:rFonts w:hint="eastAsia"/>
          <w:color w:val="auto"/>
          <w:highlight w:val="none"/>
          <w:lang w:val="en-US" w:eastAsia="zh-CN"/>
        </w:rPr>
      </w:pPr>
    </w:p>
    <w:p>
      <w:pPr>
        <w:pStyle w:val="48"/>
        <w:numPr>
          <w:ilvl w:val="0"/>
          <w:numId w:val="19"/>
        </w:numPr>
        <w:bidi w:val="0"/>
        <w:ind w:left="0" w:leftChars="0" w:firstLine="0" w:firstLineChars="0"/>
        <w:rPr>
          <w:rFonts w:hint="eastAsia"/>
          <w:color w:val="auto"/>
          <w:highlight w:val="none"/>
          <w:lang w:val="en-US" w:eastAsia="zh-CN"/>
        </w:rPr>
      </w:pPr>
      <w:bookmarkStart w:id="861" w:name="_Toc3384"/>
      <w:r>
        <w:rPr>
          <w:rFonts w:hint="eastAsia"/>
          <w:color w:val="auto"/>
          <w:highlight w:val="none"/>
          <w:lang w:val="en-US" w:eastAsia="zh-CN"/>
        </w:rPr>
        <w:t>投标人具有良好的商业信誉和健全的财务会计制度的证明材料</w:t>
      </w:r>
      <w:bookmarkEnd w:id="858"/>
      <w:bookmarkEnd w:id="859"/>
      <w:bookmarkEnd w:id="861"/>
    </w:p>
    <w:bookmarkEnd w:id="860"/>
    <w:p>
      <w:pPr>
        <w:pStyle w:val="29"/>
        <w:bidi w:val="0"/>
        <w:rPr>
          <w:rFonts w:hint="eastAsia"/>
          <w:color w:val="auto"/>
          <w:highlight w:val="none"/>
          <w:lang w:val="en-US" w:eastAsia="zh-CN"/>
        </w:rPr>
      </w:pPr>
      <w:bookmarkStart w:id="862" w:name="_Toc17744"/>
      <w:bookmarkStart w:id="863" w:name="_Toc19866"/>
      <w:bookmarkStart w:id="864" w:name="_Toc5443"/>
      <w:r>
        <w:rPr>
          <w:rFonts w:hint="eastAsia"/>
          <w:color w:val="auto"/>
          <w:highlight w:val="none"/>
          <w:lang w:val="en-US" w:eastAsia="zh-CN"/>
        </w:rPr>
        <w:t>1.投标人</w:t>
      </w:r>
      <w:r>
        <w:rPr>
          <w:rFonts w:hint="eastAsia"/>
          <w:color w:val="auto"/>
          <w:highlight w:val="none"/>
        </w:rPr>
        <w:t>具</w:t>
      </w:r>
      <w:r>
        <w:rPr>
          <w:rFonts w:hint="eastAsia"/>
          <w:color w:val="auto"/>
          <w:highlight w:val="none"/>
          <w:lang w:val="en-US" w:eastAsia="zh-CN"/>
        </w:rPr>
        <w:t>有</w:t>
      </w:r>
      <w:r>
        <w:rPr>
          <w:rFonts w:hint="eastAsia"/>
          <w:color w:val="auto"/>
          <w:highlight w:val="none"/>
        </w:rPr>
        <w:t>良好商业信誉的证明材料</w:t>
      </w:r>
      <w:r>
        <w:rPr>
          <w:rFonts w:hint="eastAsia"/>
          <w:color w:val="auto"/>
          <w:highlight w:val="none"/>
          <w:lang w:eastAsia="zh-CN"/>
        </w:rPr>
        <w:t>；</w:t>
      </w:r>
    </w:p>
    <w:p>
      <w:pPr>
        <w:pStyle w:val="29"/>
        <w:bidi w:val="0"/>
        <w:rPr>
          <w:rFonts w:hint="eastAsia"/>
          <w:color w:val="auto"/>
          <w:highlight w:val="none"/>
          <w:lang w:eastAsia="zh-CN"/>
        </w:rPr>
      </w:pPr>
      <w:r>
        <w:rPr>
          <w:rFonts w:hint="eastAsia"/>
          <w:color w:val="auto"/>
          <w:highlight w:val="none"/>
          <w:lang w:val="en-US" w:eastAsia="zh-CN"/>
        </w:rPr>
        <w:t>提供</w:t>
      </w:r>
      <w:r>
        <w:rPr>
          <w:rFonts w:hint="eastAsia"/>
          <w:color w:val="auto"/>
          <w:highlight w:val="none"/>
        </w:rPr>
        <w:t>具</w:t>
      </w:r>
      <w:r>
        <w:rPr>
          <w:rFonts w:hint="eastAsia"/>
          <w:color w:val="auto"/>
          <w:highlight w:val="none"/>
          <w:lang w:val="en-US" w:eastAsia="zh-CN"/>
        </w:rPr>
        <w:t>有</w:t>
      </w:r>
      <w:r>
        <w:rPr>
          <w:rFonts w:hint="eastAsia"/>
          <w:color w:val="auto"/>
          <w:highlight w:val="none"/>
        </w:rPr>
        <w:t>良好</w:t>
      </w:r>
      <w:r>
        <w:rPr>
          <w:rFonts w:hint="eastAsia"/>
          <w:color w:val="auto"/>
          <w:highlight w:val="none"/>
          <w:lang w:val="en-US" w:eastAsia="zh-CN"/>
        </w:rPr>
        <w:t>的</w:t>
      </w:r>
      <w:r>
        <w:rPr>
          <w:rFonts w:hint="eastAsia"/>
          <w:color w:val="auto"/>
          <w:highlight w:val="none"/>
        </w:rPr>
        <w:t>商业信誉</w:t>
      </w:r>
      <w:r>
        <w:rPr>
          <w:rFonts w:hint="eastAsia"/>
          <w:color w:val="auto"/>
          <w:highlight w:val="none"/>
          <w:lang w:val="en-US" w:eastAsia="zh-CN"/>
        </w:rPr>
        <w:t>的</w:t>
      </w:r>
      <w:r>
        <w:rPr>
          <w:rFonts w:hint="eastAsia"/>
          <w:color w:val="auto"/>
          <w:highlight w:val="none"/>
        </w:rPr>
        <w:t>承诺函</w:t>
      </w:r>
      <w:r>
        <w:rPr>
          <w:rFonts w:hint="eastAsia"/>
          <w:color w:val="auto"/>
          <w:highlight w:val="none"/>
          <w:lang w:eastAsia="zh-CN"/>
        </w:rPr>
        <w:t>。</w:t>
      </w:r>
    </w:p>
    <w:p>
      <w:pPr>
        <w:pStyle w:val="29"/>
        <w:bidi w:val="0"/>
        <w:rPr>
          <w:rFonts w:hint="eastAsia"/>
          <w:b/>
          <w:bCs/>
          <w:color w:val="auto"/>
          <w:highlight w:val="none"/>
          <w:lang w:val="en-US" w:eastAsia="zh-CN"/>
        </w:rPr>
      </w:pPr>
      <w:r>
        <w:rPr>
          <w:rFonts w:hint="eastAsia"/>
          <w:b/>
          <w:bCs/>
          <w:color w:val="auto"/>
          <w:highlight w:val="none"/>
          <w:lang w:val="en-US" w:eastAsia="zh-CN"/>
        </w:rPr>
        <w:t>注：投标人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9"/>
        <w:bidi w:val="0"/>
        <w:rPr>
          <w:rFonts w:hint="eastAsia"/>
          <w:color w:val="auto"/>
          <w:highlight w:val="none"/>
          <w:lang w:val="en-US" w:eastAsia="zh-CN"/>
        </w:rPr>
      </w:pPr>
      <w:r>
        <w:rPr>
          <w:rFonts w:hint="eastAsia"/>
          <w:color w:val="auto"/>
          <w:highlight w:val="none"/>
          <w:lang w:val="en-US" w:eastAsia="zh-CN"/>
        </w:rPr>
        <w:t>2.投标人具有健全的财务会计制度的证明材料；</w:t>
      </w:r>
    </w:p>
    <w:p>
      <w:pPr>
        <w:pStyle w:val="29"/>
        <w:bidi w:val="0"/>
        <w:rPr>
          <w:rFonts w:hint="default"/>
          <w:color w:val="auto"/>
          <w:highlight w:val="none"/>
          <w:lang w:val="en-US" w:eastAsia="zh-CN"/>
        </w:rPr>
      </w:pPr>
      <w:r>
        <w:rPr>
          <w:rFonts w:hint="eastAsia"/>
          <w:color w:val="auto"/>
          <w:highlight w:val="none"/>
          <w:lang w:val="en-US" w:eastAsia="zh-CN"/>
        </w:rPr>
        <w:t>(1)投标人提供2019年度或2020年度经过会计师事务所审计的财务报告复印件(经审计的有效财务报告应包括报告及报告中所附的完整内容，并由注册会计师签名、盖章以及会计师事务所盖章)；</w:t>
      </w:r>
    </w:p>
    <w:p>
      <w:pPr>
        <w:pStyle w:val="29"/>
        <w:bidi w:val="0"/>
        <w:rPr>
          <w:rFonts w:hint="eastAsia"/>
          <w:color w:val="auto"/>
          <w:highlight w:val="none"/>
          <w:lang w:val="en-US" w:eastAsia="zh-CN"/>
        </w:rPr>
      </w:pPr>
      <w:r>
        <w:rPr>
          <w:rFonts w:hint="eastAsia"/>
          <w:color w:val="auto"/>
          <w:highlight w:val="none"/>
          <w:lang w:val="en-US" w:eastAsia="zh-CN"/>
        </w:rPr>
        <w:t>(2)投标人提供2020年度投标人内部的财务报表复印件(至少包含资产负债表)；</w:t>
      </w:r>
    </w:p>
    <w:p>
      <w:pPr>
        <w:pStyle w:val="29"/>
        <w:bidi w:val="0"/>
        <w:rPr>
          <w:rFonts w:hint="eastAsia"/>
          <w:color w:val="auto"/>
          <w:highlight w:val="none"/>
          <w:lang w:val="en-US" w:eastAsia="zh-CN"/>
        </w:rPr>
      </w:pPr>
      <w:r>
        <w:rPr>
          <w:rFonts w:hint="eastAsia"/>
          <w:color w:val="auto"/>
          <w:highlight w:val="none"/>
          <w:lang w:val="en-US" w:eastAsia="zh-CN"/>
        </w:rPr>
        <w:t>(3)投标人提供投标文件递交截止日前一年内银行为其出具的资信证明复印件；</w:t>
      </w:r>
    </w:p>
    <w:p>
      <w:pPr>
        <w:pStyle w:val="29"/>
        <w:bidi w:val="0"/>
        <w:rPr>
          <w:rFonts w:hint="eastAsia"/>
          <w:color w:val="auto"/>
          <w:highlight w:val="none"/>
          <w:lang w:val="en-US" w:eastAsia="zh-CN"/>
        </w:rPr>
      </w:pPr>
      <w:r>
        <w:rPr>
          <w:rFonts w:hint="eastAsia"/>
          <w:color w:val="auto"/>
          <w:highlight w:val="none"/>
          <w:lang w:val="en-US" w:eastAsia="zh-CN"/>
        </w:rPr>
        <w:t>(4)投标人注册时间截至投标文件递交截止日不足一年的，可提供公司章程复印件；</w:t>
      </w:r>
    </w:p>
    <w:p>
      <w:pPr>
        <w:pStyle w:val="29"/>
        <w:bidi w:val="0"/>
        <w:rPr>
          <w:rFonts w:hint="eastAsia"/>
          <w:color w:val="auto"/>
          <w:highlight w:val="none"/>
          <w:lang w:val="en-US" w:eastAsia="zh-CN"/>
        </w:rPr>
      </w:pPr>
      <w:r>
        <w:rPr>
          <w:rFonts w:hint="eastAsia"/>
          <w:color w:val="auto"/>
          <w:highlight w:val="none"/>
          <w:lang w:val="en-US" w:eastAsia="zh-CN"/>
        </w:rPr>
        <w:t>(5)投标人为事业单位或其他组织(不具备法人条件的组织，如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等)或自然人时，可提供承诺函；</w:t>
      </w:r>
    </w:p>
    <w:p>
      <w:pPr>
        <w:pStyle w:val="29"/>
        <w:bidi w:val="0"/>
        <w:rPr>
          <w:rFonts w:hint="default"/>
          <w:color w:val="auto"/>
          <w:highlight w:val="none"/>
          <w:lang w:val="en-US" w:eastAsia="zh-CN"/>
        </w:rPr>
      </w:pPr>
      <w:r>
        <w:rPr>
          <w:rFonts w:hint="eastAsia"/>
          <w:color w:val="auto"/>
          <w:highlight w:val="none"/>
          <w:lang w:val="en-US" w:eastAsia="zh-CN"/>
        </w:rPr>
        <w:t>(6)提供具有健全的财务会计制度的承诺函。</w:t>
      </w:r>
    </w:p>
    <w:p>
      <w:pPr>
        <w:pStyle w:val="50"/>
        <w:bidi w:val="0"/>
        <w:rPr>
          <w:rFonts w:hint="eastAsia"/>
          <w:color w:val="auto"/>
          <w:highlight w:val="none"/>
          <w:lang w:val="en-US" w:eastAsia="zh-CN"/>
        </w:rPr>
      </w:pPr>
      <w:r>
        <w:rPr>
          <w:rFonts w:hint="eastAsia"/>
          <w:b/>
          <w:bCs/>
          <w:color w:val="auto"/>
          <w:highlight w:val="none"/>
          <w:lang w:val="en-US" w:eastAsia="zh-CN"/>
        </w:rPr>
        <w:t>注：具有健全的财务会计制度的证明材料中第(1)-(6)项具有同等的投标效力，投标人可根据自身实际情况选择提供其中任意一项。</w:t>
      </w:r>
    </w:p>
    <w:p>
      <w:pPr>
        <w:pStyle w:val="48"/>
        <w:numPr>
          <w:ilvl w:val="0"/>
          <w:numId w:val="19"/>
        </w:numPr>
        <w:bidi w:val="0"/>
        <w:ind w:left="0" w:leftChars="0" w:firstLine="0" w:firstLineChars="0"/>
        <w:rPr>
          <w:rFonts w:hint="eastAsia"/>
          <w:color w:val="auto"/>
          <w:highlight w:val="none"/>
          <w:lang w:val="en-US" w:eastAsia="zh-CN"/>
        </w:rPr>
      </w:pPr>
      <w:bookmarkStart w:id="865" w:name="_Toc24224"/>
      <w:r>
        <w:rPr>
          <w:rFonts w:hint="eastAsia"/>
          <w:color w:val="auto"/>
          <w:highlight w:val="none"/>
          <w:lang w:val="en-US" w:eastAsia="zh-CN"/>
        </w:rPr>
        <w:t>投标人具有依法缴纳税收和社会保障资金的良好记录的证明材料</w:t>
      </w:r>
      <w:bookmarkEnd w:id="862"/>
      <w:bookmarkEnd w:id="863"/>
      <w:bookmarkEnd w:id="865"/>
    </w:p>
    <w:bookmarkEnd w:id="864"/>
    <w:p>
      <w:pPr>
        <w:pStyle w:val="29"/>
        <w:bidi w:val="0"/>
        <w:rPr>
          <w:rFonts w:hint="eastAsia"/>
          <w:color w:val="auto"/>
          <w:highlight w:val="none"/>
        </w:rPr>
      </w:pPr>
      <w:r>
        <w:rPr>
          <w:rFonts w:hint="eastAsia"/>
          <w:color w:val="auto"/>
          <w:highlight w:val="none"/>
        </w:rPr>
        <w:t>提供</w:t>
      </w:r>
      <w:r>
        <w:rPr>
          <w:rFonts w:hint="eastAsia"/>
          <w:color w:val="auto"/>
          <w:highlight w:val="none"/>
          <w:lang w:val="en-US" w:eastAsia="zh-CN"/>
        </w:rPr>
        <w:t>具有</w:t>
      </w:r>
      <w:r>
        <w:rPr>
          <w:rFonts w:hint="eastAsia"/>
          <w:color w:val="auto"/>
          <w:highlight w:val="none"/>
          <w:lang w:val="zh-CN"/>
        </w:rPr>
        <w:t>依法缴纳税收和社会保障资金的良好记录</w:t>
      </w:r>
      <w:r>
        <w:rPr>
          <w:rFonts w:hint="eastAsia"/>
          <w:color w:val="auto"/>
          <w:highlight w:val="none"/>
        </w:rPr>
        <w:t>的承诺函</w:t>
      </w:r>
      <w:r>
        <w:rPr>
          <w:rFonts w:hint="eastAsia"/>
          <w:color w:val="auto"/>
          <w:highlight w:val="none"/>
          <w:lang w:eastAsia="zh-CN"/>
        </w:rPr>
        <w:t>。</w:t>
      </w:r>
    </w:p>
    <w:p>
      <w:pPr>
        <w:pStyle w:val="50"/>
        <w:bidi w:val="0"/>
        <w:rPr>
          <w:rFonts w:hint="default"/>
          <w:color w:val="auto"/>
          <w:highlight w:val="none"/>
          <w:lang w:val="en-US" w:eastAsia="zh-CN"/>
        </w:rPr>
      </w:pPr>
      <w:r>
        <w:rPr>
          <w:rFonts w:hint="eastAsia"/>
          <w:color w:val="auto"/>
          <w:highlight w:val="none"/>
          <w:lang w:val="en-US" w:eastAsia="zh-CN"/>
        </w:rPr>
        <w:t>注：格式自拟，或参照《符合&lt;中华人民共和国政府采购法&gt;第二十二条规定的条件的承诺及声明函》的格式提供承诺函。</w:t>
      </w:r>
    </w:p>
    <w:p>
      <w:pPr>
        <w:pStyle w:val="25"/>
        <w:bidi w:val="0"/>
        <w:rPr>
          <w:rFonts w:hint="eastAsia"/>
          <w:color w:val="auto"/>
          <w:highlight w:val="none"/>
          <w:lang w:val="en-US" w:eastAsia="zh-CN"/>
        </w:rPr>
      </w:pPr>
      <w:r>
        <w:rPr>
          <w:rFonts w:hint="eastAsia"/>
          <w:color w:val="auto"/>
          <w:highlight w:val="none"/>
          <w:lang w:val="en-US" w:eastAsia="zh-CN"/>
        </w:rPr>
        <w:br w:type="page"/>
      </w:r>
    </w:p>
    <w:p>
      <w:pPr>
        <w:pStyle w:val="48"/>
        <w:numPr>
          <w:ilvl w:val="0"/>
          <w:numId w:val="19"/>
        </w:numPr>
        <w:bidi w:val="0"/>
        <w:ind w:left="0" w:leftChars="0" w:firstLine="0" w:firstLineChars="0"/>
        <w:rPr>
          <w:rFonts w:hint="eastAsia"/>
          <w:color w:val="auto"/>
          <w:highlight w:val="none"/>
          <w:lang w:val="en-US" w:eastAsia="zh-CN"/>
        </w:rPr>
      </w:pPr>
      <w:bookmarkStart w:id="866" w:name="_Toc30590"/>
      <w:bookmarkStart w:id="867" w:name="_Toc15870"/>
      <w:bookmarkStart w:id="868" w:name="_Toc16336"/>
      <w:r>
        <w:rPr>
          <w:rFonts w:hint="eastAsia"/>
          <w:color w:val="auto"/>
          <w:highlight w:val="none"/>
          <w:lang w:val="en-US" w:eastAsia="zh-CN"/>
        </w:rPr>
        <w:t>投标人具有履行合同所必需的设备和专业技术能力证明材料</w:t>
      </w:r>
      <w:bookmarkEnd w:id="866"/>
      <w:bookmarkEnd w:id="867"/>
      <w:bookmarkEnd w:id="868"/>
    </w:p>
    <w:p>
      <w:pPr>
        <w:pStyle w:val="29"/>
        <w:bidi w:val="0"/>
        <w:rPr>
          <w:rFonts w:hint="eastAsia"/>
          <w:color w:val="auto"/>
          <w:highlight w:val="none"/>
          <w:lang w:val="en-US" w:eastAsia="zh-CN"/>
        </w:rPr>
      </w:pPr>
      <w:r>
        <w:rPr>
          <w:rFonts w:hint="eastAsia"/>
          <w:color w:val="auto"/>
          <w:highlight w:val="none"/>
          <w:lang w:val="en-US" w:eastAsia="zh-CN"/>
        </w:rPr>
        <w:t>提供具有履行合同所必需的设备和专业技术能力的承诺函。</w:t>
      </w:r>
    </w:p>
    <w:p>
      <w:pPr>
        <w:pStyle w:val="50"/>
        <w:bidi w:val="0"/>
        <w:rPr>
          <w:rFonts w:hint="eastAsia"/>
          <w:color w:val="auto"/>
          <w:highlight w:val="none"/>
          <w:lang w:val="en-US" w:eastAsia="zh-CN"/>
        </w:rPr>
      </w:pPr>
      <w:r>
        <w:rPr>
          <w:rFonts w:hint="eastAsia"/>
          <w:color w:val="auto"/>
          <w:highlight w:val="none"/>
          <w:lang w:val="en-US" w:eastAsia="zh-CN"/>
        </w:rPr>
        <w:t>注：格式自拟，或参照《符合&lt;中华人民共和国政府采购法&gt;第二十二条规定的条件的承诺及声明函》的格式提供承诺函。</w:t>
      </w:r>
    </w:p>
    <w:p>
      <w:pPr>
        <w:pStyle w:val="25"/>
        <w:bidi w:val="0"/>
        <w:rPr>
          <w:rFonts w:hint="eastAsia"/>
          <w:color w:val="auto"/>
          <w:highlight w:val="none"/>
          <w:lang w:val="en-US" w:eastAsia="zh-CN"/>
        </w:rPr>
      </w:pPr>
      <w:r>
        <w:rPr>
          <w:rFonts w:hint="eastAsia"/>
          <w:color w:val="auto"/>
          <w:highlight w:val="none"/>
          <w:lang w:val="en-US" w:eastAsia="zh-CN"/>
        </w:rPr>
        <w:br w:type="page"/>
      </w:r>
    </w:p>
    <w:p>
      <w:pPr>
        <w:pStyle w:val="48"/>
        <w:numPr>
          <w:ilvl w:val="0"/>
          <w:numId w:val="19"/>
        </w:numPr>
        <w:bidi w:val="0"/>
        <w:ind w:left="0" w:leftChars="0" w:firstLine="0" w:firstLineChars="0"/>
        <w:rPr>
          <w:rFonts w:hint="eastAsia"/>
          <w:color w:val="auto"/>
          <w:highlight w:val="none"/>
          <w:lang w:val="en-US" w:eastAsia="zh-CN"/>
        </w:rPr>
      </w:pPr>
      <w:bookmarkStart w:id="869" w:name="_Toc16837"/>
      <w:bookmarkStart w:id="870" w:name="_Toc21379"/>
      <w:r>
        <w:rPr>
          <w:rFonts w:hint="eastAsia"/>
          <w:color w:val="auto"/>
          <w:highlight w:val="none"/>
          <w:lang w:val="en-US" w:eastAsia="zh-CN"/>
        </w:rPr>
        <w:t>投标人参加政府采购活动前三年内，在经营活动中没有重大违法记录的证明材料</w:t>
      </w:r>
      <w:bookmarkEnd w:id="869"/>
      <w:bookmarkEnd w:id="870"/>
    </w:p>
    <w:p>
      <w:pPr>
        <w:pStyle w:val="29"/>
        <w:bidi w:val="0"/>
        <w:rPr>
          <w:rFonts w:hint="eastAsia"/>
          <w:color w:val="auto"/>
          <w:highlight w:val="none"/>
          <w:lang w:val="en-US" w:eastAsia="zh-CN"/>
        </w:rPr>
      </w:pPr>
      <w:bookmarkStart w:id="871" w:name="_Toc9591"/>
      <w:bookmarkStart w:id="872" w:name="_Toc14299"/>
      <w:r>
        <w:rPr>
          <w:rFonts w:hint="eastAsia"/>
          <w:color w:val="auto"/>
          <w:highlight w:val="none"/>
          <w:lang w:val="en-US" w:eastAsia="zh-CN"/>
        </w:rPr>
        <w:t>投标人提供参加本次政府采购活动前三年内，在经营活动中没有重大违法记录的书面声明(成立不足三年的，从成立之日起计算)。</w:t>
      </w:r>
    </w:p>
    <w:p>
      <w:pPr>
        <w:pStyle w:val="50"/>
        <w:bidi w:val="0"/>
        <w:rPr>
          <w:rFonts w:hint="eastAsia"/>
          <w:color w:val="auto"/>
          <w:highlight w:val="none"/>
          <w:lang w:val="en-US" w:eastAsia="zh-CN"/>
        </w:rPr>
      </w:pPr>
      <w:bookmarkStart w:id="873" w:name="_Toc26284"/>
      <w:bookmarkStart w:id="874" w:name="_Toc7540"/>
      <w:r>
        <w:rPr>
          <w:rFonts w:hint="eastAsia"/>
          <w:color w:val="auto"/>
          <w:highlight w:val="none"/>
          <w:lang w:val="en-US" w:eastAsia="zh-CN"/>
        </w:rPr>
        <w:t>注：格式自拟，或参照《符合&lt;中华人民共和国政府采购法&gt;第二十二条规定的条件的承诺及声明函》的格式提供声明函。</w:t>
      </w:r>
    </w:p>
    <w:bookmarkEnd w:id="871"/>
    <w:bookmarkEnd w:id="872"/>
    <w:bookmarkEnd w:id="873"/>
    <w:bookmarkEnd w:id="874"/>
    <w:p>
      <w:pPr>
        <w:pStyle w:val="48"/>
        <w:numPr>
          <w:ilvl w:val="0"/>
          <w:numId w:val="19"/>
        </w:numPr>
        <w:bidi w:val="0"/>
        <w:ind w:left="0" w:leftChars="0" w:firstLine="0" w:firstLineChars="0"/>
        <w:rPr>
          <w:rFonts w:hint="eastAsia"/>
          <w:color w:val="auto"/>
          <w:highlight w:val="none"/>
          <w:lang w:val="zh-CN" w:eastAsia="zh-CN"/>
        </w:rPr>
      </w:pPr>
      <w:bookmarkStart w:id="875" w:name="_Toc3840"/>
      <w:bookmarkStart w:id="876" w:name="_Toc27034"/>
      <w:bookmarkStart w:id="877" w:name="_Toc17558"/>
      <w:bookmarkStart w:id="878" w:name="_Toc16697"/>
      <w:bookmarkStart w:id="879" w:name="_Toc19166"/>
      <w:bookmarkStart w:id="880" w:name="_Toc15054"/>
      <w:bookmarkStart w:id="881" w:name="_Toc4865"/>
      <w:r>
        <w:rPr>
          <w:rFonts w:hint="eastAsia"/>
          <w:color w:val="auto"/>
          <w:highlight w:val="none"/>
          <w:lang w:val="en-US" w:eastAsia="zh-CN"/>
        </w:rPr>
        <w:t>投标人</w:t>
      </w:r>
      <w:r>
        <w:rPr>
          <w:rFonts w:hint="eastAsia"/>
          <w:color w:val="auto"/>
          <w:highlight w:val="none"/>
          <w:lang w:val="zh-CN" w:eastAsia="zh-CN"/>
        </w:rPr>
        <w:t>及其现任法定代表人、主要负责人不得具有行贿犯罪记录</w:t>
      </w:r>
      <w:r>
        <w:rPr>
          <w:rFonts w:hint="eastAsia"/>
          <w:color w:val="auto"/>
          <w:highlight w:val="none"/>
          <w:lang w:val="en-US" w:eastAsia="zh-CN"/>
        </w:rPr>
        <w:t>的</w:t>
      </w:r>
      <w:bookmarkEnd w:id="875"/>
      <w:bookmarkEnd w:id="876"/>
      <w:bookmarkEnd w:id="877"/>
      <w:r>
        <w:rPr>
          <w:rFonts w:hint="eastAsia"/>
          <w:color w:val="auto"/>
          <w:highlight w:val="none"/>
          <w:lang w:val="en-US" w:eastAsia="zh-CN"/>
        </w:rPr>
        <w:t>承诺函</w:t>
      </w:r>
      <w:bookmarkEnd w:id="878"/>
    </w:p>
    <w:p>
      <w:pPr>
        <w:pStyle w:val="25"/>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ascii="宋体" w:hAnsi="宋体" w:eastAsia="宋体" w:cs="宋体"/>
          <w:color w:val="auto"/>
          <w:highlight w:val="none"/>
        </w:rPr>
      </w:pPr>
      <w:bookmarkStart w:id="882" w:name="_Toc8455"/>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采购代理机构名称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pPr>
        <w:pStyle w:val="25"/>
        <w:keepNext w:val="0"/>
        <w:keepLines w:val="0"/>
        <w:pageBreakBefore w:val="0"/>
        <w:widowControl w:val="0"/>
        <w:kinsoku/>
        <w:wordWrap w:val="0"/>
        <w:overflowPunct/>
        <w:topLinePunct/>
        <w:autoSpaceDE/>
        <w:autoSpaceDN/>
        <w:bidi w:val="0"/>
        <w:adjustRightInd/>
        <w:snapToGrid/>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cs="宋体"/>
          <w:color w:val="auto"/>
          <w:highlight w:val="none"/>
          <w:lang w:val="en-US" w:eastAsia="zh-CN"/>
        </w:rPr>
        <w:t>单位</w:t>
      </w:r>
      <w:r>
        <w:rPr>
          <w:rFonts w:hint="eastAsia" w:ascii="宋体" w:hAnsi="宋体" w:eastAsia="宋体" w:cs="宋体"/>
          <w:color w:val="auto"/>
          <w:highlight w:val="none"/>
        </w:rPr>
        <w:t>作为本次采购项目的</w:t>
      </w:r>
      <w:r>
        <w:rPr>
          <w:rFonts w:hint="eastAsia" w:cs="宋体"/>
          <w:color w:val="auto"/>
          <w:highlight w:val="none"/>
          <w:lang w:eastAsia="zh-CN"/>
        </w:rPr>
        <w:t>投标人</w:t>
      </w:r>
      <w:r>
        <w:rPr>
          <w:rFonts w:hint="eastAsia" w:ascii="宋体" w:hAnsi="宋体" w:eastAsia="宋体" w:cs="宋体"/>
          <w:color w:val="auto"/>
          <w:highlight w:val="none"/>
        </w:rPr>
        <w:t>，根据</w:t>
      </w:r>
      <w:r>
        <w:rPr>
          <w:rFonts w:hint="eastAsia"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要求，现郑重承诺如下：</w:t>
      </w:r>
    </w:p>
    <w:p>
      <w:pPr>
        <w:pStyle w:val="29"/>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u w:val="single"/>
          <w:lang w:val="en-US" w:eastAsia="zh-CN"/>
        </w:rPr>
      </w:pPr>
      <w:r>
        <w:rPr>
          <w:rFonts w:hint="eastAsia" w:cs="宋体"/>
          <w:color w:val="auto"/>
          <w:highlight w:val="none"/>
          <w:u w:val="single"/>
          <w:lang w:val="en-US" w:eastAsia="zh-CN"/>
        </w:rPr>
        <w:t xml:space="preserve">           </w:t>
      </w:r>
      <w:r>
        <w:rPr>
          <w:rFonts w:hint="eastAsia" w:cs="宋体"/>
          <w:b w:val="0"/>
          <w:bCs w:val="0"/>
          <w:color w:val="auto"/>
          <w:highlight w:val="none"/>
          <w:lang w:val="en-US" w:eastAsia="zh-CN"/>
        </w:rPr>
        <w:t>(投标人名称)及其现任法定代表人</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(姓名)、</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(身份证号码)，主要负责人</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(姓名)、</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(身份证号码)，</w:t>
      </w:r>
      <w:r>
        <w:rPr>
          <w:rFonts w:hint="eastAsia" w:cs="宋体"/>
          <w:b w:val="0"/>
          <w:bCs w:val="0"/>
          <w:color w:val="auto"/>
          <w:highlight w:val="none"/>
          <w:u w:val="single"/>
          <w:lang w:val="en-US" w:eastAsia="zh-CN"/>
        </w:rPr>
        <w:t xml:space="preserve">        </w:t>
      </w:r>
      <w:r>
        <w:rPr>
          <w:rFonts w:hint="eastAsia" w:cs="宋体"/>
          <w:color w:val="auto"/>
          <w:highlight w:val="none"/>
          <w:u w:val="none"/>
          <w:lang w:val="en-US" w:eastAsia="zh-CN"/>
        </w:rPr>
        <w:t xml:space="preserve">(无行贿犯罪记录的期限)均无行贿犯罪记录。     </w:t>
      </w:r>
    </w:p>
    <w:p>
      <w:pPr>
        <w:pStyle w:val="29"/>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cs="宋体"/>
          <w:color w:val="auto"/>
          <w:highlight w:val="none"/>
          <w:lang w:val="en-US" w:eastAsia="zh-CN"/>
        </w:rPr>
        <w:t>单位</w:t>
      </w:r>
      <w:r>
        <w:rPr>
          <w:rFonts w:hint="eastAsia" w:ascii="宋体" w:hAnsi="宋体" w:eastAsia="宋体" w:cs="宋体"/>
          <w:color w:val="auto"/>
          <w:highlight w:val="none"/>
        </w:rPr>
        <w:t>对上述承诺的内容事项真实性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合法</w:t>
      </w:r>
      <w:r>
        <w:rPr>
          <w:rFonts w:hint="eastAsia" w:ascii="宋体" w:hAnsi="宋体" w:eastAsia="宋体" w:cs="宋体"/>
          <w:color w:val="auto"/>
          <w:highlight w:val="none"/>
          <w:lang w:val="en-US" w:eastAsia="zh-CN"/>
        </w:rPr>
        <w:t>性</w:t>
      </w:r>
      <w:r>
        <w:rPr>
          <w:rFonts w:hint="eastAsia" w:ascii="宋体" w:hAnsi="宋体" w:eastAsia="宋体" w:cs="宋体"/>
          <w:color w:val="auto"/>
          <w:highlight w:val="none"/>
        </w:rPr>
        <w:t>负责。如经查实上述承诺的内容事项存在虚假，我</w:t>
      </w:r>
      <w:r>
        <w:rPr>
          <w:rFonts w:hint="eastAsia" w:cs="宋体"/>
          <w:color w:val="auto"/>
          <w:highlight w:val="none"/>
          <w:lang w:val="en-US" w:eastAsia="zh-CN"/>
        </w:rPr>
        <w:t>单位</w:t>
      </w:r>
      <w:r>
        <w:rPr>
          <w:rFonts w:hint="eastAsia" w:ascii="宋体" w:hAnsi="宋体" w:eastAsia="宋体" w:cs="宋体"/>
          <w:color w:val="auto"/>
          <w:highlight w:val="none"/>
          <w:lang w:val="en-US" w:eastAsia="zh-CN"/>
        </w:rPr>
        <w:t>自愿</w:t>
      </w:r>
      <w:r>
        <w:rPr>
          <w:rFonts w:hint="eastAsia" w:ascii="宋体" w:hAnsi="宋体" w:eastAsia="宋体" w:cs="宋体"/>
          <w:color w:val="auto"/>
          <w:highlight w:val="none"/>
        </w:rPr>
        <w:t>接受以提供虚假材料谋取</w:t>
      </w:r>
      <w:r>
        <w:rPr>
          <w:rFonts w:hint="eastAsia" w:cs="宋体"/>
          <w:color w:val="auto"/>
          <w:highlight w:val="none"/>
          <w:lang w:val="en-US" w:eastAsia="zh-CN"/>
        </w:rPr>
        <w:t>中标</w:t>
      </w:r>
      <w:r>
        <w:rPr>
          <w:rFonts w:hint="eastAsia" w:ascii="宋体" w:hAnsi="宋体" w:eastAsia="宋体" w:cs="宋体"/>
          <w:color w:val="auto"/>
          <w:highlight w:val="none"/>
          <w:lang w:val="en-US" w:eastAsia="zh-CN"/>
        </w:rPr>
        <w:t>所带来的所有</w:t>
      </w:r>
      <w:r>
        <w:rPr>
          <w:rFonts w:hint="eastAsia" w:ascii="宋体" w:hAnsi="宋体" w:eastAsia="宋体" w:cs="宋体"/>
          <w:color w:val="auto"/>
          <w:highlight w:val="none"/>
        </w:rPr>
        <w:t>法律责任。</w:t>
      </w:r>
    </w:p>
    <w:p>
      <w:pPr>
        <w:pStyle w:val="25"/>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lang w:val="en-US" w:eastAsia="zh-CN"/>
        </w:rPr>
      </w:pPr>
    </w:p>
    <w:p>
      <w:pPr>
        <w:pStyle w:val="25"/>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lang w:val="en-US" w:eastAsia="zh-CN"/>
        </w:rPr>
      </w:pPr>
    </w:p>
    <w:p>
      <w:pPr>
        <w:pStyle w:val="29"/>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pStyle w:val="29"/>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法定代表人/单位负责人或授权代表</w:t>
      </w:r>
      <w:r>
        <w:rPr>
          <w:rFonts w:hint="eastAsia" w:ascii="宋体" w:hAnsi="宋体" w:eastAsia="宋体" w:cs="宋体"/>
          <w:color w:val="auto"/>
          <w:highlight w:val="non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或盖章</w:t>
      </w:r>
      <w:r>
        <w:rPr>
          <w:rFonts w:hint="eastAsia" w:ascii="宋体" w:hAnsi="宋体" w:eastAsia="宋体" w:cs="宋体"/>
          <w:color w:val="auto"/>
          <w:highlight w:val="none"/>
        </w:rPr>
        <w:t>)</w:t>
      </w:r>
    </w:p>
    <w:p>
      <w:pPr>
        <w:pStyle w:val="28"/>
        <w:keepNext w:val="0"/>
        <w:keepLines w:val="0"/>
        <w:pageBreakBefore w:val="0"/>
        <w:widowControl w:val="0"/>
        <w:numPr>
          <w:ilvl w:val="3"/>
          <w:numId w:val="0"/>
        </w:numPr>
        <w:kinsoku/>
        <w:wordWrap w:val="0"/>
        <w:overflowPunct/>
        <w:topLinePunct/>
        <w:autoSpaceDE/>
        <w:autoSpaceDN/>
        <w:bidi w:val="0"/>
        <w:adjustRightInd/>
        <w:snapToGrid/>
        <w:ind w:leftChars="0" w:firstLine="48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日期：</w:t>
      </w:r>
      <w:r>
        <w:rPr>
          <w:rFonts w:hint="eastAsia" w:ascii="宋体" w:hAnsi="宋体" w:eastAsia="宋体" w:cs="宋体"/>
          <w:color w:val="auto"/>
          <w:highlight w:val="none"/>
          <w:u w:val="single"/>
          <w:lang w:val="en-US" w:eastAsia="zh-CN"/>
        </w:rPr>
        <w:t xml:space="preserve">                  </w:t>
      </w:r>
    </w:p>
    <w:p>
      <w:pPr>
        <w:pStyle w:val="28"/>
        <w:keepNext w:val="0"/>
        <w:keepLines w:val="0"/>
        <w:pageBreakBefore w:val="0"/>
        <w:widowControl w:val="0"/>
        <w:numPr>
          <w:ilvl w:val="3"/>
          <w:numId w:val="0"/>
        </w:numPr>
        <w:kinsoku/>
        <w:wordWrap w:val="0"/>
        <w:overflowPunct/>
        <w:topLinePunct/>
        <w:autoSpaceDE/>
        <w:autoSpaceDN/>
        <w:bidi w:val="0"/>
        <w:adjustRightInd/>
        <w:snapToGrid/>
        <w:ind w:leftChars="0" w:firstLine="480" w:firstLineChars="200"/>
        <w:textAlignment w:val="auto"/>
        <w:rPr>
          <w:rFonts w:hint="eastAsia" w:ascii="宋体" w:hAnsi="宋体" w:eastAsia="宋体" w:cs="宋体"/>
          <w:color w:val="auto"/>
          <w:highlight w:val="none"/>
          <w:u w:val="single"/>
          <w:lang w:val="en-US" w:eastAsia="zh-CN"/>
        </w:rPr>
      </w:pPr>
    </w:p>
    <w:p>
      <w:pPr>
        <w:pStyle w:val="28"/>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default"/>
          <w:b/>
          <w:bCs/>
          <w:color w:val="auto"/>
          <w:highlight w:val="none"/>
          <w:lang w:val="en-US" w:eastAsia="zh-CN"/>
        </w:rPr>
      </w:pPr>
      <w:r>
        <w:rPr>
          <w:rFonts w:hint="eastAsia"/>
          <w:b/>
          <w:bCs/>
          <w:color w:val="auto"/>
          <w:highlight w:val="none"/>
          <w:lang w:val="en-US" w:eastAsia="zh-CN"/>
        </w:rPr>
        <w:t>注：投标人成立时间超过十年的，在“</w:t>
      </w:r>
      <w:r>
        <w:rPr>
          <w:rFonts w:hint="eastAsia" w:cs="宋体"/>
          <w:b/>
          <w:bCs/>
          <w:color w:val="auto"/>
          <w:highlight w:val="none"/>
          <w:u w:val="none"/>
          <w:lang w:val="en-US" w:eastAsia="zh-CN"/>
        </w:rPr>
        <w:t>无行贿犯罪记录的期限</w:t>
      </w:r>
      <w:r>
        <w:rPr>
          <w:rFonts w:hint="eastAsia"/>
          <w:b/>
          <w:bCs/>
          <w:color w:val="auto"/>
          <w:highlight w:val="none"/>
          <w:lang w:val="en-US" w:eastAsia="zh-CN"/>
        </w:rPr>
        <w:t>”</w:t>
      </w:r>
      <w:r>
        <w:rPr>
          <w:rFonts w:hint="eastAsia" w:cs="宋体"/>
          <w:b/>
          <w:bCs/>
          <w:color w:val="auto"/>
          <w:highlight w:val="none"/>
          <w:u w:val="none"/>
          <w:lang w:val="en-US" w:eastAsia="zh-CN"/>
        </w:rPr>
        <w:t>处填写“十年内”；</w:t>
      </w:r>
      <w:r>
        <w:rPr>
          <w:rFonts w:hint="eastAsia"/>
          <w:b/>
          <w:bCs/>
          <w:color w:val="auto"/>
          <w:highlight w:val="none"/>
          <w:lang w:val="en-US" w:eastAsia="zh-CN"/>
        </w:rPr>
        <w:t>投标人</w:t>
      </w:r>
      <w:r>
        <w:rPr>
          <w:rFonts w:hint="eastAsia" w:cs="宋体"/>
          <w:b/>
          <w:bCs/>
          <w:color w:val="auto"/>
          <w:highlight w:val="none"/>
          <w:u w:val="none"/>
          <w:lang w:val="en-US" w:eastAsia="zh-CN"/>
        </w:rPr>
        <w:t>成立时间不足十年的，</w:t>
      </w:r>
      <w:r>
        <w:rPr>
          <w:rFonts w:hint="eastAsia"/>
          <w:b/>
          <w:bCs/>
          <w:color w:val="auto"/>
          <w:highlight w:val="none"/>
          <w:lang w:val="en-US" w:eastAsia="zh-CN"/>
        </w:rPr>
        <w:t>在“</w:t>
      </w:r>
      <w:r>
        <w:rPr>
          <w:rFonts w:hint="eastAsia" w:cs="宋体"/>
          <w:b/>
          <w:bCs/>
          <w:color w:val="auto"/>
          <w:highlight w:val="none"/>
          <w:u w:val="none"/>
          <w:lang w:val="en-US" w:eastAsia="zh-CN"/>
        </w:rPr>
        <w:t>无行贿犯罪记录的期限</w:t>
      </w:r>
      <w:r>
        <w:rPr>
          <w:rFonts w:hint="eastAsia"/>
          <w:b/>
          <w:bCs/>
          <w:color w:val="auto"/>
          <w:highlight w:val="none"/>
          <w:lang w:val="en-US" w:eastAsia="zh-CN"/>
        </w:rPr>
        <w:t>”</w:t>
      </w:r>
      <w:r>
        <w:rPr>
          <w:rFonts w:hint="eastAsia" w:cs="宋体"/>
          <w:b/>
          <w:bCs/>
          <w:color w:val="auto"/>
          <w:highlight w:val="none"/>
          <w:u w:val="none"/>
          <w:lang w:val="en-US" w:eastAsia="zh-CN"/>
        </w:rPr>
        <w:t>处填写“自我单位成立之日起至今”</w:t>
      </w:r>
      <w:r>
        <w:rPr>
          <w:rFonts w:hint="eastAsia"/>
          <w:b/>
          <w:bCs/>
          <w:color w:val="auto"/>
          <w:highlight w:val="none"/>
          <w:lang w:val="en-US" w:eastAsia="zh-CN"/>
        </w:rPr>
        <w:t>。</w:t>
      </w:r>
    </w:p>
    <w:p>
      <w:pPr>
        <w:pStyle w:val="25"/>
        <w:bidi w:val="0"/>
        <w:rPr>
          <w:rFonts w:hint="eastAsia"/>
          <w:color w:val="auto"/>
          <w:highlight w:val="none"/>
          <w:lang w:val="zh-CN" w:eastAsia="zh-CN"/>
        </w:rPr>
      </w:pPr>
    </w:p>
    <w:p>
      <w:pPr>
        <w:pStyle w:val="25"/>
        <w:bidi w:val="0"/>
        <w:rPr>
          <w:rFonts w:hint="eastAsia"/>
          <w:color w:val="auto"/>
          <w:highlight w:val="none"/>
          <w:lang w:eastAsia="zh-CN"/>
        </w:rPr>
      </w:pPr>
      <w:r>
        <w:rPr>
          <w:rFonts w:hint="eastAsia"/>
          <w:color w:val="auto"/>
          <w:highlight w:val="none"/>
          <w:lang w:val="en-US" w:eastAsia="zh-CN"/>
        </w:rPr>
        <w:br w:type="page"/>
      </w:r>
      <w:bookmarkEnd w:id="882"/>
      <w:bookmarkStart w:id="883" w:name="_Toc2151"/>
    </w:p>
    <w:bookmarkEnd w:id="879"/>
    <w:bookmarkEnd w:id="880"/>
    <w:bookmarkEnd w:id="881"/>
    <w:bookmarkEnd w:id="883"/>
    <w:p>
      <w:pPr>
        <w:pStyle w:val="48"/>
        <w:numPr>
          <w:ilvl w:val="0"/>
          <w:numId w:val="19"/>
        </w:numPr>
        <w:bidi w:val="0"/>
        <w:ind w:left="0" w:leftChars="0" w:firstLine="0" w:firstLineChars="0"/>
        <w:rPr>
          <w:rFonts w:hint="eastAsia"/>
          <w:color w:val="auto"/>
          <w:highlight w:val="none"/>
          <w:lang w:val="en-US" w:eastAsia="zh-CN"/>
        </w:rPr>
      </w:pPr>
      <w:bookmarkStart w:id="884" w:name="_Toc4404"/>
      <w:bookmarkStart w:id="885" w:name="_Toc21855"/>
      <w:bookmarkStart w:id="886" w:name="_Toc15708"/>
      <w:r>
        <w:rPr>
          <w:rFonts w:hint="eastAsia"/>
          <w:color w:val="auto"/>
          <w:highlight w:val="none"/>
          <w:lang w:val="en-US" w:eastAsia="zh-CN"/>
        </w:rPr>
        <w:t>符合《中华人民共和国政府采购法》第二十二条规定的条件的承诺及声明函</w:t>
      </w:r>
      <w:bookmarkEnd w:id="884"/>
      <w:bookmarkEnd w:id="885"/>
      <w:bookmarkEnd w:id="886"/>
    </w:p>
    <w:p>
      <w:pPr>
        <w:pStyle w:val="25"/>
        <w:bidi w:val="0"/>
        <w:rPr>
          <w:rFonts w:hint="eastAsia"/>
          <w:color w:val="auto"/>
          <w:highlight w:val="none"/>
        </w:rPr>
      </w:pPr>
      <w:r>
        <w:rPr>
          <w:rFonts w:hint="eastAsia"/>
          <w:color w:val="auto"/>
          <w:highlight w:val="none"/>
          <w:u w:val="single"/>
        </w:rPr>
        <w:t xml:space="preserve">                   </w:t>
      </w:r>
      <w:r>
        <w:rPr>
          <w:rFonts w:hint="eastAsia"/>
          <w:color w:val="auto"/>
          <w:highlight w:val="none"/>
          <w:lang w:eastAsia="zh-CN"/>
        </w:rPr>
        <w:t>(</w:t>
      </w:r>
      <w:r>
        <w:rPr>
          <w:rFonts w:hint="eastAsia"/>
          <w:color w:val="auto"/>
          <w:highlight w:val="none"/>
        </w:rPr>
        <w:t>采购代理机构名称</w:t>
      </w:r>
      <w:r>
        <w:rPr>
          <w:rFonts w:hint="eastAsia"/>
          <w:color w:val="auto"/>
          <w:highlight w:val="none"/>
          <w:lang w:eastAsia="zh-CN"/>
        </w:rPr>
        <w:t>)</w:t>
      </w:r>
      <w:r>
        <w:rPr>
          <w:rFonts w:hint="eastAsia"/>
          <w:color w:val="auto"/>
          <w:highlight w:val="none"/>
        </w:rPr>
        <w:t>：</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我公司作为本次采购项目的</w:t>
      </w:r>
      <w:r>
        <w:rPr>
          <w:rFonts w:hint="eastAsia"/>
          <w:color w:val="auto"/>
          <w:highlight w:val="none"/>
          <w:lang w:val="en-US" w:eastAsia="zh-CN"/>
        </w:rPr>
        <w:t>投标</w:t>
      </w:r>
      <w:r>
        <w:rPr>
          <w:rFonts w:hint="eastAsia"/>
          <w:color w:val="auto"/>
          <w:highlight w:val="none"/>
        </w:rPr>
        <w:t>供应商，根据</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要求，现郑重承诺如下：</w:t>
      </w:r>
    </w:p>
    <w:p>
      <w:pPr>
        <w:pStyle w:val="40"/>
        <w:numPr>
          <w:ilvl w:val="2"/>
          <w:numId w:val="20"/>
        </w:numPr>
        <w:bidi w:val="0"/>
        <w:rPr>
          <w:rFonts w:hint="eastAsia"/>
          <w:color w:val="auto"/>
          <w:highlight w:val="none"/>
        </w:rPr>
      </w:pPr>
      <w:r>
        <w:rPr>
          <w:rFonts w:hint="eastAsia"/>
          <w:color w:val="auto"/>
          <w:highlight w:val="none"/>
        </w:rPr>
        <w:t xml:space="preserve">具有良好的商业信誉和健全的财务会计制度； </w:t>
      </w:r>
    </w:p>
    <w:p>
      <w:pPr>
        <w:pStyle w:val="40"/>
        <w:numPr>
          <w:ilvl w:val="2"/>
          <w:numId w:val="20"/>
        </w:numPr>
        <w:bidi w:val="0"/>
        <w:rPr>
          <w:rFonts w:hint="eastAsia"/>
          <w:color w:val="auto"/>
          <w:highlight w:val="none"/>
        </w:rPr>
      </w:pPr>
      <w:r>
        <w:rPr>
          <w:rFonts w:hint="eastAsia"/>
          <w:color w:val="auto"/>
          <w:highlight w:val="none"/>
        </w:rPr>
        <w:t xml:space="preserve">具有履行合同所必需的设备和专业技术能力； </w:t>
      </w:r>
    </w:p>
    <w:p>
      <w:pPr>
        <w:pStyle w:val="40"/>
        <w:numPr>
          <w:ilvl w:val="2"/>
          <w:numId w:val="20"/>
        </w:numPr>
        <w:bidi w:val="0"/>
        <w:rPr>
          <w:rFonts w:hint="eastAsia"/>
          <w:color w:val="auto"/>
          <w:highlight w:val="none"/>
        </w:rPr>
      </w:pPr>
      <w:r>
        <w:rPr>
          <w:rFonts w:hint="eastAsia"/>
          <w:color w:val="auto"/>
          <w:highlight w:val="none"/>
          <w:lang w:val="en-US" w:eastAsia="zh-CN"/>
        </w:rPr>
        <w:t>具</w:t>
      </w:r>
      <w:r>
        <w:rPr>
          <w:rFonts w:hint="eastAsia"/>
          <w:color w:val="auto"/>
          <w:highlight w:val="none"/>
        </w:rPr>
        <w:t xml:space="preserve">有依法缴纳税收和社会保障资金的良好记录； </w:t>
      </w:r>
    </w:p>
    <w:p>
      <w:pPr>
        <w:pStyle w:val="40"/>
        <w:numPr>
          <w:ilvl w:val="2"/>
          <w:numId w:val="20"/>
        </w:numPr>
        <w:bidi w:val="0"/>
        <w:rPr>
          <w:rFonts w:hint="eastAsia"/>
          <w:color w:val="auto"/>
          <w:highlight w:val="none"/>
        </w:rPr>
      </w:pPr>
      <w:r>
        <w:rPr>
          <w:rFonts w:hint="eastAsia"/>
          <w:color w:val="auto"/>
          <w:highlight w:val="none"/>
        </w:rPr>
        <w:t>参加本次政府采购活动前三年内，在经营活动中没有重大违法记录(供应商成立不足三年的，从成立之日起计算)；</w:t>
      </w:r>
    </w:p>
    <w:p>
      <w:pPr>
        <w:pStyle w:val="40"/>
        <w:numPr>
          <w:ilvl w:val="2"/>
          <w:numId w:val="20"/>
        </w:numPr>
        <w:bidi w:val="0"/>
        <w:rPr>
          <w:rFonts w:hint="eastAsia"/>
          <w:color w:val="auto"/>
          <w:highlight w:val="none"/>
        </w:rPr>
      </w:pPr>
      <w:r>
        <w:rPr>
          <w:rFonts w:hint="eastAsia"/>
          <w:color w:val="auto"/>
          <w:highlight w:val="none"/>
          <w:lang w:val="en-US" w:eastAsia="zh-CN"/>
        </w:rPr>
        <w:t>符合</w:t>
      </w:r>
      <w:r>
        <w:rPr>
          <w:rFonts w:hint="eastAsia"/>
          <w:color w:val="auto"/>
          <w:highlight w:val="none"/>
        </w:rPr>
        <w:t>法律、行政法规规定的其他条件</w:t>
      </w:r>
      <w:r>
        <w:rPr>
          <w:rFonts w:hint="eastAsia"/>
          <w:color w:val="auto"/>
          <w:highlight w:val="none"/>
          <w:lang w:eastAsia="zh-CN"/>
        </w:rPr>
        <w:t>；</w:t>
      </w:r>
    </w:p>
    <w:p>
      <w:pPr>
        <w:pStyle w:val="40"/>
        <w:numPr>
          <w:ilvl w:val="2"/>
          <w:numId w:val="20"/>
        </w:numPr>
        <w:bidi w:val="0"/>
        <w:rPr>
          <w:rFonts w:hint="eastAsia"/>
          <w:color w:val="auto"/>
          <w:highlight w:val="none"/>
        </w:rPr>
      </w:pPr>
      <w:r>
        <w:rPr>
          <w:rFonts w:hint="eastAsia"/>
          <w:color w:val="auto"/>
          <w:highlight w:val="none"/>
          <w:lang w:val="en-US" w:eastAsia="zh-CN"/>
        </w:rPr>
        <w:t>未与其他供应商组成联合体参加本项目投标。</w:t>
      </w:r>
    </w:p>
    <w:p>
      <w:pPr>
        <w:pStyle w:val="29"/>
        <w:bidi w:val="0"/>
        <w:rPr>
          <w:rFonts w:hint="eastAsia"/>
          <w:color w:val="auto"/>
          <w:highlight w:val="none"/>
        </w:rPr>
      </w:pPr>
      <w:r>
        <w:rPr>
          <w:rFonts w:hint="eastAsia"/>
          <w:color w:val="auto"/>
          <w:highlight w:val="none"/>
        </w:rPr>
        <w:t>本公司对上述承诺的内容事项真实性</w:t>
      </w:r>
      <w:r>
        <w:rPr>
          <w:rFonts w:hint="eastAsia"/>
          <w:color w:val="auto"/>
          <w:highlight w:val="none"/>
          <w:lang w:eastAsia="zh-CN"/>
        </w:rPr>
        <w:t>、</w:t>
      </w:r>
      <w:r>
        <w:rPr>
          <w:rFonts w:hint="eastAsia"/>
          <w:color w:val="auto"/>
          <w:highlight w:val="none"/>
        </w:rPr>
        <w:t>合法</w:t>
      </w:r>
      <w:r>
        <w:rPr>
          <w:rFonts w:hint="eastAsia"/>
          <w:color w:val="auto"/>
          <w:highlight w:val="none"/>
          <w:lang w:val="en-US" w:eastAsia="zh-CN"/>
        </w:rPr>
        <w:t>性</w:t>
      </w:r>
      <w:r>
        <w:rPr>
          <w:rFonts w:hint="eastAsia"/>
          <w:color w:val="auto"/>
          <w:highlight w:val="none"/>
        </w:rPr>
        <w:t>负责。如经查实上述承诺的内容事项存在虚假，我公司</w:t>
      </w:r>
      <w:r>
        <w:rPr>
          <w:rFonts w:hint="eastAsia"/>
          <w:color w:val="auto"/>
          <w:highlight w:val="none"/>
          <w:lang w:val="en-US" w:eastAsia="zh-CN"/>
        </w:rPr>
        <w:t>自愿</w:t>
      </w:r>
      <w:r>
        <w:rPr>
          <w:rFonts w:hint="eastAsia"/>
          <w:color w:val="auto"/>
          <w:highlight w:val="none"/>
        </w:rPr>
        <w:t>接受以提供虚假材料谋取</w:t>
      </w:r>
      <w:r>
        <w:rPr>
          <w:rFonts w:hint="eastAsia"/>
          <w:color w:val="auto"/>
          <w:highlight w:val="none"/>
          <w:lang w:val="en-US" w:eastAsia="zh-CN"/>
        </w:rPr>
        <w:t>中标所带来的所有</w:t>
      </w:r>
      <w:r>
        <w:rPr>
          <w:rFonts w:hint="eastAsia"/>
          <w:color w:val="auto"/>
          <w:highlight w:val="none"/>
        </w:rPr>
        <w:t>法律责任。</w:t>
      </w:r>
    </w:p>
    <w:p>
      <w:pPr>
        <w:pStyle w:val="25"/>
        <w:bidi w:val="0"/>
        <w:rPr>
          <w:rFonts w:hint="eastAsia"/>
          <w:color w:val="auto"/>
          <w:highlight w:val="none"/>
          <w:lang w:val="en-US" w:eastAsia="zh-CN"/>
        </w:rPr>
      </w:pPr>
    </w:p>
    <w:p>
      <w:pPr>
        <w:pStyle w:val="25"/>
        <w:bidi w:val="0"/>
        <w:rPr>
          <w:rFonts w:hint="eastAsia"/>
          <w:color w:val="auto"/>
          <w:highlight w:val="none"/>
          <w:lang w:val="en-US" w:eastAsia="zh-CN"/>
        </w:rPr>
      </w:pP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pPr>
        <w:pStyle w:val="50"/>
        <w:bidi w:val="0"/>
        <w:rPr>
          <w:rFonts w:hint="eastAsia"/>
          <w:color w:val="auto"/>
          <w:sz w:val="32"/>
          <w:szCs w:val="32"/>
          <w:highlight w:val="none"/>
        </w:rPr>
      </w:pPr>
      <w:r>
        <w:rPr>
          <w:rFonts w:hint="eastAsia"/>
          <w:color w:val="auto"/>
          <w:highlight w:val="none"/>
          <w:lang w:val="en-US" w:eastAsia="zh-CN"/>
        </w:rPr>
        <w:t>注：本部分所要求的承诺函可参照本格式或自拟格式填写均有效。</w:t>
      </w:r>
      <w:bookmarkStart w:id="887" w:name="_Toc14607"/>
      <w:bookmarkStart w:id="888" w:name="_Toc18702"/>
      <w:r>
        <w:rPr>
          <w:rFonts w:hint="eastAsia"/>
          <w:color w:val="auto"/>
          <w:sz w:val="32"/>
          <w:szCs w:val="32"/>
          <w:highlight w:val="none"/>
        </w:rPr>
        <w:br w:type="page"/>
      </w: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outlineLvl w:val="9"/>
        <w:rPr>
          <w:rFonts w:hint="eastAsia"/>
          <w:color w:val="auto"/>
          <w:sz w:val="32"/>
          <w:szCs w:val="32"/>
          <w:highlight w:val="none"/>
        </w:rPr>
      </w:pPr>
    </w:p>
    <w:p>
      <w:pPr>
        <w:pStyle w:val="26"/>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color w:val="auto"/>
          <w:sz w:val="32"/>
          <w:szCs w:val="32"/>
          <w:highlight w:val="none"/>
        </w:rPr>
      </w:pPr>
      <w:bookmarkStart w:id="889" w:name="_Toc15022"/>
      <w:r>
        <w:rPr>
          <w:rFonts w:hint="eastAsia"/>
          <w:color w:val="auto"/>
          <w:sz w:val="32"/>
          <w:szCs w:val="32"/>
          <w:highlight w:val="none"/>
        </w:rPr>
        <w:t>第</w:t>
      </w:r>
      <w:r>
        <w:rPr>
          <w:rFonts w:hint="eastAsia"/>
          <w:color w:val="auto"/>
          <w:sz w:val="32"/>
          <w:szCs w:val="32"/>
          <w:highlight w:val="none"/>
          <w:lang w:val="en-US" w:eastAsia="zh-CN"/>
        </w:rPr>
        <w:t>二</w:t>
      </w:r>
      <w:r>
        <w:rPr>
          <w:rFonts w:hint="eastAsia"/>
          <w:color w:val="auto"/>
          <w:sz w:val="32"/>
          <w:szCs w:val="32"/>
          <w:highlight w:val="none"/>
        </w:rPr>
        <w:t>部分 其他</w:t>
      </w:r>
      <w:r>
        <w:rPr>
          <w:rFonts w:hint="eastAsia"/>
          <w:color w:val="auto"/>
          <w:sz w:val="32"/>
          <w:szCs w:val="32"/>
          <w:highlight w:val="none"/>
          <w:lang w:val="en-US" w:eastAsia="zh-CN"/>
        </w:rPr>
        <w:t>投标</w:t>
      </w:r>
      <w:r>
        <w:rPr>
          <w:rFonts w:hint="eastAsia"/>
          <w:color w:val="auto"/>
          <w:sz w:val="32"/>
          <w:szCs w:val="32"/>
          <w:highlight w:val="none"/>
        </w:rPr>
        <w:t>文件(格式)</w:t>
      </w:r>
      <w:bookmarkEnd w:id="887"/>
      <w:bookmarkEnd w:id="889"/>
    </w:p>
    <w:p>
      <w:pPr>
        <w:pStyle w:val="25"/>
        <w:bidi w:val="0"/>
        <w:rPr>
          <w:rFonts w:hint="eastAsia"/>
          <w:color w:val="auto"/>
          <w:highlight w:val="none"/>
          <w:lang w:val="en-US" w:eastAsia="zh-CN"/>
        </w:rPr>
      </w:pPr>
      <w:bookmarkStart w:id="890" w:name="_Toc26038"/>
      <w:r>
        <w:rPr>
          <w:rFonts w:hint="eastAsia"/>
          <w:color w:val="auto"/>
          <w:highlight w:val="none"/>
          <w:lang w:val="en-US" w:eastAsia="zh-CN"/>
        </w:rPr>
        <w:br w:type="page"/>
      </w:r>
    </w:p>
    <w:p>
      <w:pPr>
        <w:pStyle w:val="48"/>
        <w:numPr>
          <w:ilvl w:val="0"/>
          <w:numId w:val="21"/>
        </w:numPr>
        <w:bidi w:val="0"/>
        <w:ind w:left="0" w:leftChars="0" w:firstLine="0" w:firstLineChars="0"/>
        <w:rPr>
          <w:rFonts w:hint="eastAsia"/>
          <w:color w:val="auto"/>
          <w:highlight w:val="none"/>
          <w:lang w:val="en-US" w:eastAsia="zh-CN"/>
        </w:rPr>
      </w:pPr>
      <w:bookmarkStart w:id="891" w:name="_Toc9386"/>
      <w:bookmarkStart w:id="892" w:name="_Toc2311"/>
      <w:r>
        <w:rPr>
          <w:rFonts w:hint="eastAsia"/>
          <w:color w:val="auto"/>
          <w:highlight w:val="none"/>
          <w:lang w:val="en-US" w:eastAsia="zh-CN"/>
        </w:rPr>
        <w:t>投标函</w:t>
      </w:r>
      <w:bookmarkEnd w:id="888"/>
      <w:bookmarkEnd w:id="890"/>
      <w:bookmarkEnd w:id="891"/>
      <w:bookmarkEnd w:id="892"/>
    </w:p>
    <w:p>
      <w:pPr>
        <w:pStyle w:val="25"/>
        <w:keepNext w:val="0"/>
        <w:keepLines w:val="0"/>
        <w:pageBreakBefore w:val="0"/>
        <w:widowControl w:val="0"/>
        <w:kinsoku/>
        <w:wordWrap w:val="0"/>
        <w:overflowPunct/>
        <w:topLinePunct/>
        <w:autoSpaceDE/>
        <w:autoSpaceDN/>
        <w:bidi w:val="0"/>
        <w:adjustRightInd w:val="0"/>
        <w:snapToGrid w:val="0"/>
        <w:spacing w:line="440" w:lineRule="exact"/>
        <w:textAlignment w:val="auto"/>
        <w:rPr>
          <w:rFonts w:hint="eastAsia"/>
          <w:color w:val="auto"/>
          <w:highlight w:val="none"/>
          <w:lang w:val="zh-CN"/>
        </w:rPr>
      </w:pPr>
      <w:r>
        <w:rPr>
          <w:rFonts w:hint="eastAsia"/>
          <w:color w:val="auto"/>
          <w:highlight w:val="none"/>
          <w:lang w:val="zh-CN"/>
        </w:rPr>
        <w:t>致：四川乾新招投标代理有限公司　</w:t>
      </w:r>
    </w:p>
    <w:p>
      <w:pPr>
        <w:pStyle w:val="29"/>
        <w:keepNext w:val="0"/>
        <w:keepLines w:val="0"/>
        <w:pageBreakBefore w:val="0"/>
        <w:widowControl w:val="0"/>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我方全面研究了“</w:t>
      </w:r>
      <w:r>
        <w:rPr>
          <w:rFonts w:hint="eastAsia"/>
          <w:color w:val="auto"/>
          <w:highlight w:val="none"/>
          <w:u w:val="single"/>
        </w:rPr>
        <w:t xml:space="preserve">               </w:t>
      </w:r>
      <w:r>
        <w:rPr>
          <w:rFonts w:hint="eastAsia"/>
          <w:color w:val="auto"/>
          <w:highlight w:val="none"/>
          <w:lang w:val="en-US" w:eastAsia="zh-CN"/>
        </w:rPr>
        <w:t>(项目名称)</w:t>
      </w:r>
      <w:r>
        <w:rPr>
          <w:rFonts w:hint="eastAsia"/>
          <w:color w:val="auto"/>
          <w:highlight w:val="none"/>
        </w:rPr>
        <w:t>(项目编号：</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的</w:t>
      </w:r>
      <w:r>
        <w:rPr>
          <w:rFonts w:hint="eastAsia"/>
          <w:color w:val="auto"/>
          <w:highlight w:val="none"/>
        </w:rPr>
        <w:t>招标文件，决定参加贵单位组织的本项目投标。我方授权</w:t>
      </w:r>
      <w:r>
        <w:rPr>
          <w:rFonts w:hint="eastAsia"/>
          <w:color w:val="auto"/>
          <w:highlight w:val="none"/>
          <w:u w:val="single"/>
        </w:rPr>
        <w:t xml:space="preserve">               </w:t>
      </w:r>
      <w:r>
        <w:rPr>
          <w:rFonts w:hint="eastAsia"/>
          <w:color w:val="auto"/>
          <w:highlight w:val="none"/>
        </w:rPr>
        <w:t>(姓名、职务)代表我</w:t>
      </w:r>
      <w:r>
        <w:rPr>
          <w:rFonts w:hint="eastAsia"/>
          <w:color w:val="auto"/>
          <w:highlight w:val="none"/>
          <w:lang w:val="en-US" w:eastAsia="zh-CN"/>
        </w:rPr>
        <w:t>方</w:t>
      </w:r>
      <w:r>
        <w:rPr>
          <w:rFonts w:hint="eastAsia"/>
          <w:color w:val="auto"/>
          <w:highlight w:val="none"/>
          <w:u w:val="single"/>
        </w:rPr>
        <w:t xml:space="preserve">               </w:t>
      </w:r>
      <w:r>
        <w:rPr>
          <w:rFonts w:hint="eastAsia"/>
          <w:color w:val="auto"/>
          <w:highlight w:val="none"/>
        </w:rPr>
        <w:t>(</w:t>
      </w:r>
      <w:r>
        <w:rPr>
          <w:rFonts w:hint="eastAsia"/>
          <w:color w:val="auto"/>
          <w:highlight w:val="none"/>
          <w:lang w:val="en-US" w:eastAsia="zh-CN"/>
        </w:rPr>
        <w:t>投标人名称</w:t>
      </w:r>
      <w:r>
        <w:rPr>
          <w:rFonts w:hint="eastAsia"/>
          <w:color w:val="auto"/>
          <w:highlight w:val="none"/>
        </w:rPr>
        <w:t>)全权处理本项目投标的有关事宜。</w:t>
      </w:r>
    </w:p>
    <w:p>
      <w:pPr>
        <w:pStyle w:val="40"/>
        <w:keepNext w:val="0"/>
        <w:keepLines w:val="0"/>
        <w:pageBreakBefore w:val="0"/>
        <w:widowControl w:val="0"/>
        <w:numPr>
          <w:ilvl w:val="2"/>
          <w:numId w:val="22"/>
        </w:numPr>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我方自愿按照招标文件规定的各项要求向采购人提供所需</w:t>
      </w:r>
      <w:r>
        <w:rPr>
          <w:rFonts w:hint="eastAsia"/>
          <w:color w:val="auto"/>
          <w:highlight w:val="none"/>
          <w:lang w:val="en-US" w:eastAsia="zh-CN"/>
        </w:rPr>
        <w:t>货物及服务</w:t>
      </w:r>
      <w:r>
        <w:rPr>
          <w:rFonts w:hint="eastAsia"/>
          <w:color w:val="auto"/>
          <w:highlight w:val="none"/>
        </w:rPr>
        <w:t>，投标</w:t>
      </w:r>
      <w:r>
        <w:rPr>
          <w:rFonts w:hint="eastAsia"/>
          <w:color w:val="auto"/>
          <w:highlight w:val="none"/>
          <w:lang w:val="en-US" w:eastAsia="zh-CN"/>
        </w:rPr>
        <w:t>总</w:t>
      </w:r>
      <w:r>
        <w:rPr>
          <w:rFonts w:hint="eastAsia"/>
          <w:color w:val="auto"/>
          <w:highlight w:val="none"/>
        </w:rPr>
        <w:t>价</w:t>
      </w:r>
      <w:r>
        <w:rPr>
          <w:rFonts w:hint="eastAsia"/>
          <w:color w:val="auto"/>
          <w:highlight w:val="none"/>
          <w:lang w:eastAsia="zh-CN"/>
        </w:rPr>
        <w:t>为</w:t>
      </w:r>
      <w:r>
        <w:rPr>
          <w:rFonts w:hint="eastAsia"/>
          <w:color w:val="auto"/>
          <w:highlight w:val="none"/>
          <w:u w:val="none"/>
          <w:lang w:val="en-US" w:eastAsia="zh-CN"/>
        </w:rPr>
        <w:t>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none"/>
          <w:lang w:val="en-US" w:eastAsia="zh-CN"/>
        </w:rPr>
        <w:t>元</w:t>
      </w:r>
      <w:r>
        <w:rPr>
          <w:rFonts w:hint="eastAsia"/>
          <w:color w:val="auto"/>
          <w:highlight w:val="none"/>
        </w:rPr>
        <w:t>(大写：</w:t>
      </w:r>
      <w:r>
        <w:rPr>
          <w:rFonts w:hint="eastAsia"/>
          <w:color w:val="auto"/>
          <w:highlight w:val="none"/>
          <w:u w:val="single"/>
          <w:lang w:val="en-US" w:eastAsia="zh-CN"/>
        </w:rPr>
        <w:t>人民币</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rPr>
        <w:t>我方将严格履行合同规定的责任和义务，</w:t>
      </w:r>
      <w:r>
        <w:rPr>
          <w:rFonts w:hint="eastAsia"/>
          <w:color w:val="auto"/>
          <w:highlight w:val="none"/>
          <w:lang w:val="en-US" w:eastAsia="zh-CN"/>
        </w:rPr>
        <w:t>履约时间为</w:t>
      </w:r>
      <w:r>
        <w:rPr>
          <w:rFonts w:hint="eastAsia"/>
          <w:color w:val="auto"/>
          <w:highlight w:val="none"/>
          <w:u w:val="single"/>
        </w:rPr>
        <w:t xml:space="preserve">             </w:t>
      </w:r>
      <w:r>
        <w:rPr>
          <w:rFonts w:hint="eastAsia"/>
          <w:color w:val="auto"/>
          <w:highlight w:val="none"/>
        </w:rPr>
        <w:t>。</w:t>
      </w:r>
    </w:p>
    <w:p>
      <w:pPr>
        <w:pStyle w:val="40"/>
        <w:keepNext w:val="0"/>
        <w:keepLines w:val="0"/>
        <w:pageBreakBefore w:val="0"/>
        <w:widowControl w:val="0"/>
        <w:numPr>
          <w:ilvl w:val="2"/>
          <w:numId w:val="22"/>
        </w:numPr>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我方承诺：投标有效</w:t>
      </w:r>
      <w:r>
        <w:rPr>
          <w:rFonts w:hint="eastAsia"/>
          <w:color w:val="auto"/>
          <w:highlight w:val="none"/>
          <w:u w:val="none"/>
        </w:rPr>
        <w:t>期为</w:t>
      </w:r>
      <w:r>
        <w:rPr>
          <w:rFonts w:hint="eastAsia"/>
          <w:color w:val="auto"/>
          <w:highlight w:val="none"/>
          <w:u w:val="none"/>
          <w:lang w:val="en-US" w:eastAsia="zh-CN"/>
        </w:rPr>
        <w:t>提交投标文件的截止之日起90日</w:t>
      </w:r>
      <w:r>
        <w:rPr>
          <w:rFonts w:hint="eastAsia"/>
          <w:color w:val="auto"/>
          <w:highlight w:val="none"/>
        </w:rPr>
        <w:t>。</w:t>
      </w:r>
    </w:p>
    <w:p>
      <w:pPr>
        <w:pStyle w:val="40"/>
        <w:keepNext w:val="0"/>
        <w:keepLines w:val="0"/>
        <w:pageBreakBefore w:val="0"/>
        <w:widowControl w:val="0"/>
        <w:numPr>
          <w:ilvl w:val="2"/>
          <w:numId w:val="22"/>
        </w:numPr>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我方完全理解采购人不一定将合同授予最低报价的投标人的行为。</w:t>
      </w:r>
    </w:p>
    <w:p>
      <w:pPr>
        <w:pStyle w:val="40"/>
        <w:keepNext w:val="0"/>
        <w:keepLines w:val="0"/>
        <w:pageBreakBefore w:val="0"/>
        <w:widowControl w:val="0"/>
        <w:numPr>
          <w:ilvl w:val="2"/>
          <w:numId w:val="22"/>
        </w:numPr>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一旦我方中标</w:t>
      </w:r>
      <w:r>
        <w:rPr>
          <w:rFonts w:hint="eastAsia"/>
          <w:color w:val="auto"/>
          <w:highlight w:val="none"/>
          <w:lang w:eastAsia="zh-CN"/>
        </w:rPr>
        <w:t>：</w:t>
      </w:r>
    </w:p>
    <w:p>
      <w:pPr>
        <w:pStyle w:val="41"/>
        <w:bidi w:val="0"/>
        <w:rPr>
          <w:rFonts w:hint="eastAsia"/>
          <w:color w:val="auto"/>
          <w:highlight w:val="none"/>
        </w:rPr>
      </w:pPr>
      <w:r>
        <w:rPr>
          <w:rFonts w:hint="eastAsia"/>
          <w:color w:val="auto"/>
          <w:highlight w:val="none"/>
        </w:rPr>
        <w:t>我方承诺在收到</w:t>
      </w:r>
      <w:r>
        <w:rPr>
          <w:rFonts w:hint="eastAsia"/>
          <w:color w:val="auto"/>
          <w:highlight w:val="none"/>
          <w:lang w:val="en-US" w:eastAsia="zh-CN"/>
        </w:rPr>
        <w:t>中标</w:t>
      </w:r>
      <w:r>
        <w:rPr>
          <w:rFonts w:hint="eastAsia"/>
          <w:color w:val="auto"/>
          <w:highlight w:val="none"/>
        </w:rPr>
        <w:t>通知书后，在规定的期限内与采购人签订合同。</w:t>
      </w:r>
    </w:p>
    <w:p>
      <w:pPr>
        <w:pStyle w:val="41"/>
        <w:bidi w:val="0"/>
        <w:rPr>
          <w:rFonts w:hint="eastAsia"/>
          <w:color w:val="auto"/>
          <w:highlight w:val="none"/>
        </w:rPr>
      </w:pPr>
      <w:r>
        <w:rPr>
          <w:rFonts w:hint="eastAsia"/>
          <w:color w:val="auto"/>
          <w:highlight w:val="none"/>
        </w:rPr>
        <w:t>我方承诺按照</w:t>
      </w:r>
      <w:r>
        <w:rPr>
          <w:rFonts w:hint="eastAsia"/>
          <w:color w:val="auto"/>
          <w:highlight w:val="none"/>
          <w:lang w:val="en-US" w:eastAsia="zh-CN"/>
        </w:rPr>
        <w:t>招标</w:t>
      </w:r>
      <w:r>
        <w:rPr>
          <w:rFonts w:hint="eastAsia"/>
          <w:color w:val="auto"/>
          <w:highlight w:val="none"/>
        </w:rPr>
        <w:t>文件规定的金额和方式向采购人缴纳履约保证金。</w:t>
      </w:r>
    </w:p>
    <w:p>
      <w:pPr>
        <w:pStyle w:val="41"/>
        <w:bidi w:val="0"/>
        <w:rPr>
          <w:rFonts w:hint="eastAsia"/>
          <w:color w:val="auto"/>
          <w:highlight w:val="none"/>
        </w:rPr>
      </w:pPr>
      <w:r>
        <w:rPr>
          <w:rFonts w:hint="eastAsia"/>
          <w:color w:val="auto"/>
          <w:highlight w:val="none"/>
        </w:rPr>
        <w:t>我方将严格履行政府采购合同规定的责任和义务。</w:t>
      </w:r>
    </w:p>
    <w:p>
      <w:pPr>
        <w:pStyle w:val="41"/>
        <w:bidi w:val="0"/>
        <w:rPr>
          <w:rFonts w:hint="eastAsia"/>
          <w:color w:val="auto"/>
          <w:highlight w:val="none"/>
        </w:rPr>
      </w:pPr>
      <w:r>
        <w:rPr>
          <w:rFonts w:hint="eastAsia"/>
          <w:color w:val="auto"/>
          <w:highlight w:val="none"/>
        </w:rPr>
        <w:t>我方愿意提供与</w:t>
      </w:r>
      <w:r>
        <w:rPr>
          <w:rFonts w:hint="eastAsia"/>
          <w:color w:val="auto"/>
          <w:highlight w:val="none"/>
          <w:lang w:val="en-US" w:eastAsia="zh-CN"/>
        </w:rPr>
        <w:t>投标</w:t>
      </w:r>
      <w:r>
        <w:rPr>
          <w:rFonts w:hint="eastAsia"/>
          <w:color w:val="auto"/>
          <w:highlight w:val="none"/>
        </w:rPr>
        <w:t>报价有关的文件资料，并保证我方已提供和将要提供的文件资料是真实、准确的。</w:t>
      </w:r>
    </w:p>
    <w:p>
      <w:pPr>
        <w:pStyle w:val="41"/>
        <w:bidi w:val="0"/>
        <w:rPr>
          <w:rFonts w:hint="eastAsia"/>
          <w:color w:val="auto"/>
          <w:highlight w:val="none"/>
        </w:rPr>
      </w:pPr>
      <w:r>
        <w:rPr>
          <w:rFonts w:hint="eastAsia"/>
          <w:color w:val="auto"/>
          <w:highlight w:val="none"/>
        </w:rPr>
        <w:t>我方自愿按照</w:t>
      </w:r>
      <w:r>
        <w:rPr>
          <w:rFonts w:hint="eastAsia"/>
          <w:color w:val="auto"/>
          <w:highlight w:val="none"/>
          <w:lang w:val="en-US" w:eastAsia="zh-CN"/>
        </w:rPr>
        <w:t>招标</w:t>
      </w:r>
      <w:r>
        <w:rPr>
          <w:rFonts w:hint="eastAsia"/>
          <w:color w:val="auto"/>
          <w:highlight w:val="none"/>
        </w:rPr>
        <w:t>文件规定的各项要求完成</w:t>
      </w:r>
      <w:r>
        <w:rPr>
          <w:rFonts w:hint="eastAsia"/>
          <w:color w:val="auto"/>
          <w:highlight w:val="none"/>
          <w:lang w:val="en-US" w:eastAsia="zh-CN"/>
        </w:rPr>
        <w:t>采购</w:t>
      </w:r>
      <w:r>
        <w:rPr>
          <w:rFonts w:hint="eastAsia"/>
          <w:color w:val="auto"/>
          <w:highlight w:val="none"/>
        </w:rPr>
        <w:t>项目，接受采购人按照政府采购合同约定金额支付采购资金。</w:t>
      </w:r>
    </w:p>
    <w:p>
      <w:pPr>
        <w:pStyle w:val="41"/>
        <w:bidi w:val="0"/>
        <w:rPr>
          <w:rFonts w:hint="eastAsia"/>
          <w:color w:val="auto"/>
          <w:highlight w:val="none"/>
        </w:rPr>
      </w:pPr>
      <w:r>
        <w:rPr>
          <w:rFonts w:hint="eastAsia"/>
          <w:color w:val="auto"/>
          <w:highlight w:val="none"/>
          <w:lang w:val="en-US" w:eastAsia="zh-CN"/>
        </w:rPr>
        <w:t>我方在参与本项目履约过程中涉及国家相关强制标准的，均按照该标准执行。</w:t>
      </w:r>
    </w:p>
    <w:p>
      <w:pPr>
        <w:pStyle w:val="40"/>
        <w:keepNext w:val="0"/>
        <w:keepLines w:val="0"/>
        <w:pageBreakBefore w:val="0"/>
        <w:widowControl w:val="0"/>
        <w:numPr>
          <w:ilvl w:val="2"/>
          <w:numId w:val="22"/>
        </w:numPr>
        <w:kinsoku/>
        <w:wordWrap w:val="0"/>
        <w:overflowPunct/>
        <w:topLine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lang w:val="en-US" w:eastAsia="zh-CN"/>
        </w:rPr>
        <w:t>我方完全接受和满足本项目招标文件中规定的实质性要求，如对招标文件有异议，已经在投标</w:t>
      </w:r>
      <w:r>
        <w:rPr>
          <w:rFonts w:hint="eastAsia"/>
          <w:color w:val="auto"/>
          <w:highlight w:val="none"/>
        </w:rPr>
        <w:t>截止时间届满前依法进行维权救济，不存在对</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有异议的同时又参加</w:t>
      </w:r>
      <w:r>
        <w:rPr>
          <w:rFonts w:hint="eastAsia"/>
          <w:color w:val="auto"/>
          <w:highlight w:val="none"/>
          <w:lang w:val="en-US" w:eastAsia="zh-CN"/>
        </w:rPr>
        <w:t>投标</w:t>
      </w:r>
      <w:r>
        <w:rPr>
          <w:rFonts w:hint="eastAsia"/>
          <w:color w:val="auto"/>
          <w:highlight w:val="none"/>
        </w:rPr>
        <w:t>以求侥幸</w:t>
      </w:r>
      <w:r>
        <w:rPr>
          <w:rFonts w:hint="eastAsia"/>
          <w:color w:val="auto"/>
          <w:highlight w:val="none"/>
          <w:lang w:val="en-US" w:eastAsia="zh-CN"/>
        </w:rPr>
        <w:t>中标</w:t>
      </w:r>
      <w:r>
        <w:rPr>
          <w:rFonts w:hint="eastAsia"/>
          <w:color w:val="auto"/>
          <w:highlight w:val="none"/>
        </w:rPr>
        <w:t>或者为实现其他非法目的的行为。</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通讯地址：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邮政编码：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传    真：</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25"/>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rPr>
          <w:rFonts w:hint="eastAsia"/>
          <w:color w:val="auto"/>
          <w:highlight w:val="none"/>
        </w:rPr>
      </w:pPr>
      <w:r>
        <w:rPr>
          <w:rFonts w:hint="eastAsia"/>
          <w:color w:val="auto"/>
          <w:highlight w:val="none"/>
        </w:rPr>
        <w:br w:type="page"/>
      </w:r>
    </w:p>
    <w:p>
      <w:pPr>
        <w:pStyle w:val="48"/>
        <w:numPr>
          <w:ilvl w:val="0"/>
          <w:numId w:val="21"/>
        </w:numPr>
        <w:bidi w:val="0"/>
        <w:ind w:left="0" w:leftChars="0" w:firstLine="0" w:firstLineChars="0"/>
        <w:rPr>
          <w:rFonts w:hint="eastAsia"/>
          <w:color w:val="auto"/>
          <w:highlight w:val="none"/>
          <w:lang w:val="en-US" w:eastAsia="zh-CN"/>
        </w:rPr>
      </w:pPr>
      <w:bookmarkStart w:id="893" w:name="_Toc23402"/>
      <w:r>
        <w:rPr>
          <w:rFonts w:hint="eastAsia"/>
          <w:color w:val="auto"/>
          <w:highlight w:val="none"/>
          <w:lang w:val="en-US" w:eastAsia="zh-CN"/>
        </w:rPr>
        <w:t>实质性要求承诺</w:t>
      </w:r>
      <w:bookmarkEnd w:id="893"/>
    </w:p>
    <w:p>
      <w:pPr>
        <w:pStyle w:val="25"/>
        <w:bidi w:val="0"/>
        <w:rPr>
          <w:rFonts w:hint="eastAsia"/>
          <w:color w:val="auto"/>
          <w:highlight w:val="none"/>
        </w:rPr>
      </w:pPr>
      <w:r>
        <w:rPr>
          <w:rFonts w:hint="eastAsia"/>
          <w:color w:val="auto"/>
          <w:highlight w:val="none"/>
          <w:u w:val="single"/>
        </w:rPr>
        <w:t xml:space="preserve">                   </w:t>
      </w:r>
      <w:r>
        <w:rPr>
          <w:rFonts w:hint="eastAsia"/>
          <w:color w:val="auto"/>
          <w:highlight w:val="none"/>
          <w:lang w:eastAsia="zh-CN"/>
        </w:rPr>
        <w:t>(</w:t>
      </w:r>
      <w:r>
        <w:rPr>
          <w:rFonts w:hint="eastAsia"/>
          <w:color w:val="auto"/>
          <w:highlight w:val="none"/>
        </w:rPr>
        <w:t>采购代理机构名称</w:t>
      </w:r>
      <w:r>
        <w:rPr>
          <w:rFonts w:hint="eastAsia"/>
          <w:color w:val="auto"/>
          <w:highlight w:val="none"/>
          <w:lang w:eastAsia="zh-CN"/>
        </w:rPr>
        <w:t>)</w:t>
      </w:r>
      <w:r>
        <w:rPr>
          <w:rFonts w:hint="eastAsia"/>
          <w:color w:val="auto"/>
          <w:highlight w:val="none"/>
        </w:rPr>
        <w:t>：</w:t>
      </w:r>
    </w:p>
    <w:p>
      <w:pPr>
        <w:pStyle w:val="29"/>
        <w:bidi w:val="0"/>
        <w:rPr>
          <w:rFonts w:hint="eastAsia"/>
          <w:color w:val="auto"/>
          <w:highlight w:val="none"/>
        </w:rPr>
      </w:pPr>
      <w:r>
        <w:rPr>
          <w:rFonts w:hint="eastAsia"/>
          <w:color w:val="auto"/>
          <w:highlight w:val="none"/>
        </w:rPr>
        <w:t>我</w:t>
      </w:r>
      <w:r>
        <w:rPr>
          <w:rFonts w:hint="eastAsia"/>
          <w:color w:val="auto"/>
          <w:highlight w:val="none"/>
          <w:lang w:val="en-US" w:eastAsia="zh-CN"/>
        </w:rPr>
        <w:t>方</w:t>
      </w:r>
      <w:r>
        <w:rPr>
          <w:rFonts w:hint="eastAsia"/>
          <w:color w:val="auto"/>
          <w:highlight w:val="none"/>
        </w:rPr>
        <w:t>作为本次采购项目的</w:t>
      </w:r>
      <w:r>
        <w:rPr>
          <w:rFonts w:hint="eastAsia"/>
          <w:color w:val="auto"/>
          <w:highlight w:val="none"/>
          <w:lang w:val="en-US" w:eastAsia="zh-CN"/>
        </w:rPr>
        <w:t>投标人</w:t>
      </w:r>
      <w:r>
        <w:rPr>
          <w:rFonts w:hint="eastAsia"/>
          <w:color w:val="auto"/>
          <w:highlight w:val="none"/>
        </w:rPr>
        <w:t>，根据</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要求，现郑重承诺及声明如下：</w:t>
      </w:r>
    </w:p>
    <w:p>
      <w:pPr>
        <w:pStyle w:val="40"/>
        <w:numPr>
          <w:ilvl w:val="2"/>
          <w:numId w:val="23"/>
        </w:numPr>
        <w:bidi w:val="0"/>
        <w:rPr>
          <w:rFonts w:hint="eastAsia"/>
          <w:color w:val="auto"/>
          <w:highlight w:val="none"/>
        </w:rPr>
      </w:pPr>
      <w:r>
        <w:rPr>
          <w:rFonts w:hint="eastAsia"/>
          <w:color w:val="auto"/>
          <w:highlight w:val="none"/>
        </w:rPr>
        <w:t>我方已认真阅读并接受本项目</w:t>
      </w:r>
      <w:r>
        <w:rPr>
          <w:rFonts w:hint="eastAsia"/>
          <w:color w:val="auto"/>
          <w:highlight w:val="none"/>
          <w:lang w:val="en-US" w:eastAsia="zh-CN"/>
        </w:rPr>
        <w:t>采购文件</w:t>
      </w:r>
      <w:r>
        <w:rPr>
          <w:rFonts w:hint="eastAsia"/>
          <w:color w:val="auto"/>
          <w:highlight w:val="none"/>
        </w:rPr>
        <w:t>的全部实质性要求</w:t>
      </w:r>
      <w:r>
        <w:rPr>
          <w:rFonts w:hint="eastAsia"/>
          <w:color w:val="auto"/>
          <w:highlight w:val="none"/>
          <w:lang w:eastAsia="zh-CN"/>
        </w:rPr>
        <w:t>。</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参加本次采购活动，不存在与单位负责人为同一人或者存在直接控股、管理关系的其他供应商参与同一合同项下的政府采购活动的行为。</w:t>
      </w:r>
      <w:r>
        <w:rPr>
          <w:rFonts w:hint="eastAsia"/>
          <w:color w:val="auto"/>
          <w:sz w:val="24"/>
          <w:szCs w:val="24"/>
          <w:highlight w:val="none"/>
          <w:lang w:val="en-US" w:eastAsia="zh-CN"/>
        </w:rPr>
        <w:t>与我方</w:t>
      </w:r>
      <w:r>
        <w:rPr>
          <w:rFonts w:hint="eastAsia"/>
          <w:color w:val="auto"/>
          <w:sz w:val="24"/>
          <w:szCs w:val="24"/>
          <w:highlight w:val="none"/>
        </w:rPr>
        <w:t>存在直接控股关系的</w:t>
      </w:r>
      <w:r>
        <w:rPr>
          <w:rFonts w:hint="eastAsia"/>
          <w:color w:val="auto"/>
          <w:sz w:val="24"/>
          <w:szCs w:val="24"/>
          <w:highlight w:val="none"/>
          <w:lang w:val="en-US" w:eastAsia="zh-CN"/>
        </w:rPr>
        <w:t>单位为：</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lang w:val="en-US" w:eastAsia="zh-CN"/>
        </w:rPr>
        <w:t>存在</w:t>
      </w:r>
      <w:r>
        <w:rPr>
          <w:rFonts w:hint="eastAsia"/>
          <w:color w:val="auto"/>
          <w:sz w:val="24"/>
          <w:szCs w:val="24"/>
          <w:highlight w:val="none"/>
        </w:rPr>
        <w:t>管理关系的</w:t>
      </w:r>
      <w:r>
        <w:rPr>
          <w:rFonts w:hint="eastAsia"/>
          <w:color w:val="auto"/>
          <w:sz w:val="24"/>
          <w:szCs w:val="24"/>
          <w:highlight w:val="none"/>
          <w:lang w:val="en-US" w:eastAsia="zh-CN"/>
        </w:rPr>
        <w:t>单位为：</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(如不存在</w:t>
      </w:r>
      <w:r>
        <w:rPr>
          <w:rFonts w:hint="eastAsia"/>
          <w:color w:val="auto"/>
          <w:sz w:val="24"/>
          <w:szCs w:val="24"/>
          <w:highlight w:val="none"/>
        </w:rPr>
        <w:t>直接控股、管理关系的相关供应商</w:t>
      </w:r>
      <w:r>
        <w:rPr>
          <w:rFonts w:hint="eastAsia"/>
          <w:color w:val="auto"/>
          <w:sz w:val="24"/>
          <w:szCs w:val="24"/>
          <w:highlight w:val="none"/>
          <w:lang w:val="en-US" w:eastAsia="zh-CN"/>
        </w:rPr>
        <w:t>填“无”</w:t>
      </w:r>
      <w:r>
        <w:rPr>
          <w:rFonts w:hint="eastAsia"/>
          <w:color w:val="auto"/>
          <w:sz w:val="24"/>
          <w:szCs w:val="24"/>
          <w:highlight w:val="none"/>
          <w:u w:val="none"/>
          <w:lang w:val="en-US" w:eastAsia="zh-CN"/>
        </w:rPr>
        <w:t>)。</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参加本次采购活动前本单位未对本次采购项目提供过整体设计、规范编制或者项目管理、监理、检测等服务。</w:t>
      </w:r>
    </w:p>
    <w:p>
      <w:pPr>
        <w:pStyle w:val="40"/>
        <w:numPr>
          <w:ilvl w:val="2"/>
          <w:numId w:val="23"/>
        </w:numPr>
        <w:bidi w:val="0"/>
        <w:rPr>
          <w:rFonts w:hint="eastAsia"/>
          <w:color w:val="auto"/>
          <w:highlight w:val="none"/>
          <w:lang w:val="en-US"/>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eastAsia="zh-CN"/>
        </w:rPr>
        <w:t>不存在我单位实际控制人或者中高级管理人员是本项目采购代理机构的工作人员的情形。</w:t>
      </w:r>
    </w:p>
    <w:p>
      <w:pPr>
        <w:pStyle w:val="40"/>
        <w:numPr>
          <w:ilvl w:val="2"/>
          <w:numId w:val="23"/>
        </w:numPr>
        <w:bidi w:val="0"/>
        <w:rPr>
          <w:rFonts w:hint="eastAsia"/>
          <w:color w:val="auto"/>
          <w:highlight w:val="none"/>
          <w:lang w:eastAsia="zh-CN"/>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eastAsia="zh-CN"/>
        </w:rPr>
        <w:t>不存在</w:t>
      </w:r>
      <w:r>
        <w:rPr>
          <w:rFonts w:hint="eastAsia"/>
          <w:color w:val="auto"/>
          <w:highlight w:val="none"/>
        </w:rPr>
        <w:t>同一母公司的两家以上的子公司以不同供应商身份同时参加本项目同一合同项下的采购活动</w:t>
      </w:r>
      <w:r>
        <w:rPr>
          <w:rFonts w:hint="eastAsia"/>
          <w:color w:val="auto"/>
          <w:highlight w:val="none"/>
          <w:lang w:val="en-US" w:eastAsia="zh-CN"/>
        </w:rPr>
        <w:t>的情形</w:t>
      </w:r>
      <w:r>
        <w:rPr>
          <w:rFonts w:hint="eastAsia"/>
          <w:color w:val="auto"/>
          <w:highlight w:val="none"/>
          <w:lang w:eastAsia="zh-CN"/>
        </w:rPr>
        <w:t>。</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rPr>
        <w:t>与采购代理机构</w:t>
      </w:r>
      <w:r>
        <w:rPr>
          <w:rFonts w:hint="eastAsia"/>
          <w:color w:val="auto"/>
          <w:highlight w:val="none"/>
          <w:lang w:val="en-US" w:eastAsia="zh-CN"/>
        </w:rPr>
        <w:t>不</w:t>
      </w:r>
      <w:r>
        <w:rPr>
          <w:rFonts w:hint="eastAsia"/>
          <w:color w:val="auto"/>
          <w:highlight w:val="none"/>
          <w:lang w:val="en-US"/>
        </w:rPr>
        <w:t>存在关联关系，</w:t>
      </w:r>
      <w:r>
        <w:rPr>
          <w:rFonts w:hint="eastAsia"/>
          <w:color w:val="auto"/>
          <w:highlight w:val="none"/>
          <w:lang w:val="en-US" w:eastAsia="zh-CN"/>
        </w:rPr>
        <w:t>不为</w:t>
      </w:r>
      <w:r>
        <w:rPr>
          <w:rFonts w:hint="eastAsia"/>
          <w:color w:val="auto"/>
          <w:highlight w:val="none"/>
          <w:lang w:val="en-US"/>
        </w:rPr>
        <w:t>采购代理机构的母公司或子公司</w:t>
      </w:r>
      <w:r>
        <w:rPr>
          <w:rFonts w:hint="eastAsia"/>
          <w:color w:val="auto"/>
          <w:highlight w:val="none"/>
          <w:lang w:val="en-US" w:eastAsia="zh-CN"/>
        </w:rPr>
        <w:t>。</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参加本次采购活动，不存在和其他供应商在同一合同项下的采购项目中，同时委托同一个自然人、同一家庭的人员、同一单位的人员作为代理人的行为。</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lang w:eastAsia="zh-CN"/>
        </w:rPr>
        <w:t>投标文件</w:t>
      </w:r>
      <w:r>
        <w:rPr>
          <w:rFonts w:hint="eastAsia"/>
          <w:color w:val="auto"/>
          <w:highlight w:val="none"/>
        </w:rPr>
        <w:t>中提供的任何资料和技术、服务、商务等响应承诺情况都是真实的、有效的、合法的。</w:t>
      </w:r>
    </w:p>
    <w:p>
      <w:pPr>
        <w:pStyle w:val="40"/>
        <w:numPr>
          <w:ilvl w:val="2"/>
          <w:numId w:val="23"/>
        </w:numPr>
        <w:bidi w:val="0"/>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参加本次采购活动，我方完全同意</w:t>
      </w:r>
      <w:r>
        <w:rPr>
          <w:rFonts w:hint="eastAsia"/>
          <w:color w:val="auto"/>
          <w:highlight w:val="none"/>
          <w:lang w:val="en-US" w:eastAsia="zh-CN"/>
        </w:rPr>
        <w:t>招标</w:t>
      </w:r>
      <w:r>
        <w:rPr>
          <w:rFonts w:hint="eastAsia"/>
          <w:color w:val="auto"/>
          <w:highlight w:val="none"/>
        </w:rPr>
        <w:t>文件</w:t>
      </w:r>
      <w:r>
        <w:rPr>
          <w:rFonts w:hint="eastAsia"/>
          <w:color w:val="auto"/>
          <w:highlight w:val="none"/>
          <w:lang w:val="en-US" w:eastAsia="zh-CN"/>
        </w:rPr>
        <w:t>中</w:t>
      </w:r>
      <w:r>
        <w:rPr>
          <w:rFonts w:hint="eastAsia"/>
          <w:color w:val="auto"/>
          <w:highlight w:val="none"/>
        </w:rPr>
        <w:t>关于“</w:t>
      </w:r>
      <w:r>
        <w:rPr>
          <w:rFonts w:hint="eastAsia"/>
          <w:color w:val="auto"/>
          <w:highlight w:val="none"/>
          <w:lang w:val="en-US" w:eastAsia="zh-CN"/>
        </w:rPr>
        <w:t>投标</w:t>
      </w:r>
      <w:r>
        <w:rPr>
          <w:rFonts w:hint="eastAsia"/>
          <w:color w:val="auto"/>
          <w:highlight w:val="none"/>
        </w:rPr>
        <w:t>费用”、“合同分包”、“合同转包”、“履约保证金”</w:t>
      </w:r>
      <w:r>
        <w:rPr>
          <w:rFonts w:hint="eastAsia"/>
          <w:color w:val="auto"/>
          <w:highlight w:val="none"/>
          <w:lang w:val="en-US" w:eastAsia="zh-CN"/>
        </w:rPr>
        <w:t>等</w:t>
      </w:r>
      <w:r>
        <w:rPr>
          <w:rFonts w:hint="eastAsia"/>
          <w:color w:val="auto"/>
          <w:highlight w:val="none"/>
        </w:rPr>
        <w:t>实质性要求，并承诺严格按照</w:t>
      </w:r>
      <w:r>
        <w:rPr>
          <w:rFonts w:hint="eastAsia"/>
          <w:color w:val="auto"/>
          <w:highlight w:val="none"/>
          <w:lang w:val="en-US" w:eastAsia="zh-CN"/>
        </w:rPr>
        <w:t>招标</w:t>
      </w:r>
      <w:r>
        <w:rPr>
          <w:rFonts w:hint="eastAsia"/>
          <w:color w:val="auto"/>
          <w:highlight w:val="none"/>
        </w:rPr>
        <w:t>文件要求履行。</w:t>
      </w:r>
    </w:p>
    <w:p>
      <w:pPr>
        <w:pStyle w:val="40"/>
        <w:numPr>
          <w:ilvl w:val="2"/>
          <w:numId w:val="23"/>
        </w:numPr>
        <w:bidi w:val="0"/>
        <w:rPr>
          <w:rFonts w:hint="eastAsia"/>
          <w:color w:val="auto"/>
          <w:highlight w:val="none"/>
        </w:rPr>
      </w:pPr>
      <w:r>
        <w:rPr>
          <w:rFonts w:hint="eastAsia"/>
          <w:color w:val="auto"/>
          <w:highlight w:val="none"/>
        </w:rPr>
        <w:t>我方保证在本项目使用的任何产品和服务</w:t>
      </w:r>
      <w:r>
        <w:rPr>
          <w:rFonts w:hint="eastAsia"/>
          <w:color w:val="auto"/>
          <w:highlight w:val="none"/>
          <w:lang w:eastAsia="zh-CN"/>
        </w:rPr>
        <w:t>(</w:t>
      </w:r>
      <w:r>
        <w:rPr>
          <w:rFonts w:hint="eastAsia"/>
          <w:color w:val="auto"/>
          <w:highlight w:val="none"/>
        </w:rPr>
        <w:t>包括部分使用</w:t>
      </w:r>
      <w:r>
        <w:rPr>
          <w:rFonts w:hint="eastAsia"/>
          <w:color w:val="auto"/>
          <w:highlight w:val="none"/>
          <w:lang w:eastAsia="zh-CN"/>
        </w:rPr>
        <w:t>)</w:t>
      </w:r>
      <w:r>
        <w:rPr>
          <w:rFonts w:hint="eastAsia"/>
          <w:color w:val="auto"/>
          <w:highlight w:val="none"/>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color w:val="auto"/>
          <w:highlight w:val="none"/>
        </w:rPr>
        <w:t>承诺</w:t>
      </w:r>
      <w:r>
        <w:rPr>
          <w:rFonts w:hint="eastAsia"/>
          <w:color w:val="auto"/>
          <w:highlight w:val="none"/>
        </w:rPr>
        <w:t>提供</w:t>
      </w:r>
      <w:r>
        <w:rPr>
          <w:rFonts w:hint="eastAsia"/>
          <w:color w:val="auto"/>
          <w:highlight w:val="none"/>
          <w:lang w:val="en-US" w:eastAsia="zh-CN"/>
        </w:rPr>
        <w:t>相关</w:t>
      </w:r>
      <w:r>
        <w:rPr>
          <w:rFonts w:hint="eastAsia"/>
          <w:color w:val="auto"/>
          <w:highlight w:val="none"/>
        </w:rPr>
        <w:t>技术文档，并提供无限期技术支持，采购人享有永久使用权</w:t>
      </w:r>
      <w:r>
        <w:rPr>
          <w:rFonts w:hint="eastAsia"/>
          <w:color w:val="auto"/>
          <w:highlight w:val="none"/>
          <w:lang w:eastAsia="zh-CN"/>
        </w:rPr>
        <w:t>(</w:t>
      </w:r>
      <w:r>
        <w:rPr>
          <w:rFonts w:hint="eastAsia"/>
          <w:color w:val="auto"/>
          <w:highlight w:val="none"/>
        </w:rPr>
        <w:t>含采购人委托第三方在该项目后续开发的使用权</w:t>
      </w:r>
      <w:r>
        <w:rPr>
          <w:rFonts w:hint="eastAsia"/>
          <w:color w:val="auto"/>
          <w:highlight w:val="none"/>
          <w:lang w:eastAsia="zh-CN"/>
        </w:rPr>
        <w:t>)</w:t>
      </w:r>
      <w:r>
        <w:rPr>
          <w:rFonts w:hint="eastAsia"/>
          <w:color w:val="auto"/>
          <w:highlight w:val="none"/>
        </w:rPr>
        <w:t>。如我方在项目实施过程中采用非自有的知识产权，则在投标报价中已包括合法获取该知识产权的相关费用。</w:t>
      </w:r>
    </w:p>
    <w:p>
      <w:pPr>
        <w:pStyle w:val="40"/>
        <w:numPr>
          <w:ilvl w:val="2"/>
          <w:numId w:val="23"/>
        </w:numPr>
        <w:bidi w:val="0"/>
        <w:rPr>
          <w:rFonts w:hint="eastAsia"/>
          <w:color w:val="auto"/>
          <w:highlight w:val="none"/>
        </w:rPr>
      </w:pPr>
      <w:r>
        <w:rPr>
          <w:rFonts w:hint="eastAsia"/>
          <w:color w:val="auto"/>
          <w:highlight w:val="none"/>
          <w:lang w:val="en-US" w:eastAsia="zh-CN"/>
        </w:rPr>
        <w:t>本项目如</w:t>
      </w:r>
      <w:r>
        <w:rPr>
          <w:rFonts w:hint="eastAsia"/>
          <w:color w:val="auto"/>
          <w:highlight w:val="none"/>
        </w:rPr>
        <w:t>涉及</w:t>
      </w:r>
      <w:r>
        <w:rPr>
          <w:rFonts w:hint="eastAsia"/>
          <w:color w:val="auto"/>
          <w:highlight w:val="none"/>
          <w:lang w:val="en-US" w:eastAsia="zh-CN"/>
        </w:rPr>
        <w:t>3</w:t>
      </w:r>
      <w:r>
        <w:rPr>
          <w:rFonts w:hint="eastAsia"/>
          <w:color w:val="auto"/>
          <w:highlight w:val="none"/>
        </w:rPr>
        <w:t>C认证产品</w:t>
      </w:r>
      <w:r>
        <w:rPr>
          <w:rFonts w:hint="eastAsia"/>
          <w:color w:val="auto"/>
          <w:highlight w:val="none"/>
          <w:lang w:val="en-US" w:eastAsia="zh-CN"/>
        </w:rPr>
        <w:t>的，我方参加投标所提供的产品均满足相关要求</w:t>
      </w:r>
      <w:r>
        <w:rPr>
          <w:rFonts w:hint="eastAsia"/>
          <w:color w:val="auto"/>
          <w:highlight w:val="none"/>
        </w:rPr>
        <w:t>，</w:t>
      </w:r>
      <w:r>
        <w:rPr>
          <w:rFonts w:hint="eastAsia"/>
          <w:color w:val="auto"/>
          <w:highlight w:val="none"/>
          <w:lang w:val="en-US" w:eastAsia="zh-CN"/>
        </w:rPr>
        <w:t>承诺在中标后签订采购合同时向采购人</w:t>
      </w:r>
      <w:r>
        <w:rPr>
          <w:rFonts w:hint="eastAsia"/>
          <w:color w:val="auto"/>
          <w:highlight w:val="none"/>
        </w:rPr>
        <w:t>提供</w:t>
      </w:r>
      <w:r>
        <w:rPr>
          <w:rFonts w:hint="eastAsia"/>
          <w:color w:val="auto"/>
          <w:highlight w:val="none"/>
          <w:lang w:val="en-US" w:eastAsia="zh-CN"/>
        </w:rPr>
        <w:t>加盖供应商公章的3</w:t>
      </w:r>
      <w:r>
        <w:rPr>
          <w:rFonts w:hint="eastAsia"/>
          <w:color w:val="auto"/>
          <w:highlight w:val="none"/>
        </w:rPr>
        <w:t>C</w:t>
      </w:r>
      <w:r>
        <w:rPr>
          <w:rFonts w:hint="eastAsia"/>
          <w:color w:val="auto"/>
          <w:highlight w:val="none"/>
          <w:lang w:val="en-US" w:eastAsia="zh-CN"/>
        </w:rPr>
        <w:t>证书复印件。</w:t>
      </w:r>
    </w:p>
    <w:p>
      <w:pPr>
        <w:pStyle w:val="29"/>
        <w:bidi w:val="0"/>
        <w:rPr>
          <w:rFonts w:hint="eastAsia"/>
          <w:color w:val="auto"/>
          <w:highlight w:val="none"/>
        </w:rPr>
      </w:pPr>
      <w:r>
        <w:rPr>
          <w:rFonts w:hint="eastAsia"/>
          <w:color w:val="auto"/>
          <w:highlight w:val="none"/>
        </w:rPr>
        <w:t>本公司对上述承诺的内容事项真实性</w:t>
      </w:r>
      <w:r>
        <w:rPr>
          <w:rFonts w:hint="eastAsia"/>
          <w:color w:val="auto"/>
          <w:highlight w:val="none"/>
          <w:lang w:eastAsia="zh-CN"/>
        </w:rPr>
        <w:t>、</w:t>
      </w:r>
      <w:r>
        <w:rPr>
          <w:rFonts w:hint="eastAsia"/>
          <w:color w:val="auto"/>
          <w:highlight w:val="none"/>
        </w:rPr>
        <w:t>合法</w:t>
      </w:r>
      <w:r>
        <w:rPr>
          <w:rFonts w:hint="eastAsia"/>
          <w:color w:val="auto"/>
          <w:highlight w:val="none"/>
          <w:lang w:val="en-US" w:eastAsia="zh-CN"/>
        </w:rPr>
        <w:t>性</w:t>
      </w:r>
      <w:r>
        <w:rPr>
          <w:rFonts w:hint="eastAsia"/>
          <w:color w:val="auto"/>
          <w:highlight w:val="none"/>
        </w:rPr>
        <w:t>负责。如经查实上述承诺的内容事项存在虚假，我公司</w:t>
      </w:r>
      <w:r>
        <w:rPr>
          <w:rFonts w:hint="eastAsia"/>
          <w:color w:val="auto"/>
          <w:highlight w:val="none"/>
          <w:lang w:val="en-US" w:eastAsia="zh-CN"/>
        </w:rPr>
        <w:t>自愿</w:t>
      </w:r>
      <w:r>
        <w:rPr>
          <w:rFonts w:hint="eastAsia"/>
          <w:color w:val="auto"/>
          <w:highlight w:val="none"/>
        </w:rPr>
        <w:t>接受以提供虚假材料谋取</w:t>
      </w:r>
      <w:r>
        <w:rPr>
          <w:rFonts w:hint="eastAsia"/>
          <w:color w:val="auto"/>
          <w:highlight w:val="none"/>
          <w:lang w:val="en-US" w:eastAsia="zh-CN"/>
        </w:rPr>
        <w:t>中标所带来的所有</w:t>
      </w:r>
      <w:r>
        <w:rPr>
          <w:rFonts w:hint="eastAsia"/>
          <w:color w:val="auto"/>
          <w:highlight w:val="none"/>
        </w:rPr>
        <w:t>法律责任。</w:t>
      </w:r>
    </w:p>
    <w:p>
      <w:pPr>
        <w:pStyle w:val="25"/>
        <w:bidi w:val="0"/>
        <w:rPr>
          <w:rFonts w:hint="eastAsia"/>
          <w:color w:val="auto"/>
          <w:highlight w:val="none"/>
          <w:lang w:val="en-US" w:eastAsia="zh-CN"/>
        </w:rPr>
      </w:pPr>
    </w:p>
    <w:p>
      <w:pPr>
        <w:pStyle w:val="25"/>
        <w:bidi w:val="0"/>
        <w:rPr>
          <w:rFonts w:hint="eastAsia"/>
          <w:color w:val="auto"/>
          <w:highlight w:val="none"/>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ascii="宋体" w:hAnsi="宋体" w:eastAsia="宋体"/>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lang w:val="en-US" w:eastAsia="zh-CN"/>
        </w:rPr>
        <w:t xml:space="preserve">         </w:t>
      </w:r>
      <w:r>
        <w:rPr>
          <w:rFonts w:hint="eastAsia" w:ascii="宋体" w:hAnsi="宋体" w:eastAsia="宋体"/>
          <w:color w:val="auto"/>
          <w:highlight w:val="none"/>
        </w:rPr>
        <w:br w:type="page"/>
      </w:r>
    </w:p>
    <w:p>
      <w:pPr>
        <w:pStyle w:val="48"/>
        <w:numPr>
          <w:ilvl w:val="0"/>
          <w:numId w:val="21"/>
        </w:numPr>
        <w:bidi w:val="0"/>
        <w:ind w:left="0" w:leftChars="0" w:firstLine="0" w:firstLineChars="0"/>
        <w:rPr>
          <w:rFonts w:hint="eastAsia"/>
          <w:color w:val="auto"/>
          <w:highlight w:val="none"/>
          <w:lang w:val="en-US" w:eastAsia="zh-CN"/>
        </w:rPr>
      </w:pPr>
      <w:bookmarkStart w:id="894" w:name="_Toc8510"/>
      <w:bookmarkStart w:id="895" w:name="_Toc17762"/>
      <w:r>
        <w:rPr>
          <w:rFonts w:hint="eastAsia"/>
          <w:color w:val="auto"/>
          <w:highlight w:val="none"/>
          <w:lang w:val="en-US" w:eastAsia="zh-CN"/>
        </w:rPr>
        <w:t>投标人基本情况表</w:t>
      </w:r>
      <w:bookmarkEnd w:id="894"/>
      <w:bookmarkEnd w:id="895"/>
    </w:p>
    <w:tbl>
      <w:tblPr>
        <w:tblStyle w:val="18"/>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939"/>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投标人名称</w:t>
            </w:r>
          </w:p>
        </w:tc>
        <w:tc>
          <w:tcPr>
            <w:tcW w:w="8000" w:type="dxa"/>
            <w:gridSpan w:val="7"/>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注册地址</w:t>
            </w:r>
          </w:p>
        </w:tc>
        <w:tc>
          <w:tcPr>
            <w:tcW w:w="3826" w:type="dxa"/>
            <w:gridSpan w:val="3"/>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邮政编码</w:t>
            </w:r>
          </w:p>
        </w:tc>
        <w:tc>
          <w:tcPr>
            <w:tcW w:w="2626" w:type="dxa"/>
            <w:gridSpan w:val="3"/>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Merge w:val="restart"/>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联系方式</w:t>
            </w:r>
          </w:p>
        </w:tc>
        <w:tc>
          <w:tcPr>
            <w:tcW w:w="93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联系人</w:t>
            </w:r>
          </w:p>
        </w:tc>
        <w:tc>
          <w:tcPr>
            <w:tcW w:w="2887"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2626" w:type="dxa"/>
            <w:gridSpan w:val="3"/>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56" w:type="dxa"/>
            <w:vMerge w:val="continue"/>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93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传真</w:t>
            </w:r>
          </w:p>
        </w:tc>
        <w:tc>
          <w:tcPr>
            <w:tcW w:w="2887"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网址</w:t>
            </w:r>
          </w:p>
        </w:tc>
        <w:tc>
          <w:tcPr>
            <w:tcW w:w="2626" w:type="dxa"/>
            <w:gridSpan w:val="3"/>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法定代表人</w:t>
            </w:r>
          </w:p>
        </w:tc>
        <w:tc>
          <w:tcPr>
            <w:tcW w:w="93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姓名</w:t>
            </w:r>
          </w:p>
        </w:tc>
        <w:tc>
          <w:tcPr>
            <w:tcW w:w="1432"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技术职称</w:t>
            </w:r>
          </w:p>
        </w:tc>
        <w:tc>
          <w:tcPr>
            <w:tcW w:w="1548"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36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1262"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技术负责人</w:t>
            </w:r>
          </w:p>
        </w:tc>
        <w:tc>
          <w:tcPr>
            <w:tcW w:w="939"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姓名</w:t>
            </w:r>
          </w:p>
        </w:tc>
        <w:tc>
          <w:tcPr>
            <w:tcW w:w="1432"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技术职称</w:t>
            </w:r>
          </w:p>
        </w:tc>
        <w:tc>
          <w:tcPr>
            <w:tcW w:w="1548"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36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1262"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成立时间</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5629" w:type="dxa"/>
            <w:gridSpan w:val="5"/>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lang w:val="en-US" w:eastAsia="zh-CN"/>
              </w:rPr>
              <w:t>从业人员</w:t>
            </w:r>
            <w:r>
              <w:rPr>
                <w:rFonts w:hint="eastAsia"/>
                <w:color w:val="auto"/>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企业资质等级</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restart"/>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其中</w:t>
            </w:r>
          </w:p>
        </w:tc>
        <w:tc>
          <w:tcPr>
            <w:tcW w:w="173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项目经理</w:t>
            </w:r>
          </w:p>
        </w:tc>
        <w:tc>
          <w:tcPr>
            <w:tcW w:w="2440"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营业执照号/统一社会信用代码</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高级职称人员</w:t>
            </w:r>
          </w:p>
        </w:tc>
        <w:tc>
          <w:tcPr>
            <w:tcW w:w="2440"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注册资金</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中级职称人员</w:t>
            </w:r>
          </w:p>
        </w:tc>
        <w:tc>
          <w:tcPr>
            <w:tcW w:w="2440"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开户银行</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初级职称人员</w:t>
            </w:r>
          </w:p>
        </w:tc>
        <w:tc>
          <w:tcPr>
            <w:tcW w:w="2440"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账号</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技工</w:t>
            </w:r>
          </w:p>
        </w:tc>
        <w:tc>
          <w:tcPr>
            <w:tcW w:w="2440"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default" w:eastAsia="宋体"/>
                <w:color w:val="auto"/>
                <w:highlight w:val="none"/>
                <w:lang w:val="en-US" w:eastAsia="zh-CN"/>
              </w:rPr>
            </w:pPr>
            <w:r>
              <w:rPr>
                <w:rFonts w:hint="eastAsia"/>
                <w:color w:val="auto"/>
                <w:highlight w:val="none"/>
                <w:lang w:val="en-US" w:eastAsia="zh-CN"/>
              </w:rPr>
              <w:t>营业收入</w:t>
            </w:r>
          </w:p>
        </w:tc>
        <w:tc>
          <w:tcPr>
            <w:tcW w:w="2371" w:type="dxa"/>
            <w:gridSpan w:val="2"/>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default" w:eastAsia="宋体"/>
                <w:color w:val="auto"/>
                <w:highlight w:val="none"/>
                <w:lang w:val="en-US" w:eastAsia="zh-CN"/>
              </w:rPr>
            </w:pPr>
            <w:r>
              <w:rPr>
                <w:rFonts w:hint="eastAsia"/>
                <w:color w:val="auto"/>
                <w:highlight w:val="none"/>
                <w:lang w:val="en-US" w:eastAsia="zh-CN"/>
              </w:rPr>
              <w:t>资产总额</w:t>
            </w:r>
          </w:p>
        </w:tc>
        <w:tc>
          <w:tcPr>
            <w:tcW w:w="4174" w:type="dxa"/>
            <w:gridSpan w:val="4"/>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经营范围</w:t>
            </w:r>
          </w:p>
        </w:tc>
        <w:tc>
          <w:tcPr>
            <w:tcW w:w="8000" w:type="dxa"/>
            <w:gridSpan w:val="7"/>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956" w:type="dxa"/>
            <w:vAlign w:val="center"/>
          </w:tcPr>
          <w:p>
            <w:pPr>
              <w:pStyle w:val="49"/>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color w:val="auto"/>
                <w:highlight w:val="none"/>
              </w:rPr>
            </w:pPr>
            <w:r>
              <w:rPr>
                <w:rFonts w:hint="eastAsia"/>
                <w:color w:val="auto"/>
                <w:highlight w:val="none"/>
              </w:rPr>
              <w:t>备注</w:t>
            </w:r>
          </w:p>
        </w:tc>
        <w:tc>
          <w:tcPr>
            <w:tcW w:w="8000" w:type="dxa"/>
            <w:gridSpan w:val="7"/>
            <w:vAlign w:val="top"/>
          </w:tcPr>
          <w:p>
            <w:pPr>
              <w:pStyle w:val="49"/>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bl>
    <w:p>
      <w:pPr>
        <w:pStyle w:val="50"/>
        <w:bidi w:val="0"/>
        <w:rPr>
          <w:rFonts w:hint="eastAsia"/>
          <w:color w:val="auto"/>
          <w:highlight w:val="none"/>
        </w:rPr>
      </w:pPr>
      <w:r>
        <w:rPr>
          <w:rFonts w:hint="eastAsia"/>
          <w:color w:val="auto"/>
          <w:highlight w:val="none"/>
        </w:rPr>
        <w:t>注：</w:t>
      </w:r>
      <w:r>
        <w:rPr>
          <w:rFonts w:hint="eastAsia"/>
          <w:color w:val="auto"/>
          <w:highlight w:val="none"/>
          <w:lang w:val="en-US" w:eastAsia="zh-CN"/>
        </w:rPr>
        <w:t>①投标人</w:t>
      </w:r>
      <w:r>
        <w:rPr>
          <w:rFonts w:hint="eastAsia"/>
          <w:color w:val="auto"/>
          <w:highlight w:val="none"/>
        </w:rPr>
        <w:t>根据</w:t>
      </w:r>
      <w:r>
        <w:rPr>
          <w:rFonts w:hint="eastAsia"/>
          <w:color w:val="auto"/>
          <w:highlight w:val="none"/>
          <w:lang w:val="en-US" w:eastAsia="zh-CN"/>
        </w:rPr>
        <w:t>自身</w:t>
      </w:r>
      <w:r>
        <w:rPr>
          <w:rFonts w:hint="eastAsia"/>
          <w:color w:val="auto"/>
          <w:highlight w:val="none"/>
        </w:rPr>
        <w:t>实际情况</w:t>
      </w:r>
      <w:r>
        <w:rPr>
          <w:rFonts w:hint="eastAsia"/>
          <w:color w:val="auto"/>
          <w:highlight w:val="none"/>
          <w:lang w:val="en-US" w:eastAsia="zh-CN"/>
        </w:rPr>
        <w:t>填写</w:t>
      </w:r>
      <w:r>
        <w:rPr>
          <w:rFonts w:hint="eastAsia"/>
          <w:color w:val="auto"/>
          <w:highlight w:val="none"/>
        </w:rPr>
        <w:t>，</w:t>
      </w:r>
      <w:r>
        <w:rPr>
          <w:rFonts w:hint="eastAsia"/>
          <w:color w:val="auto"/>
          <w:highlight w:val="none"/>
          <w:lang w:val="en-US" w:eastAsia="zh-CN"/>
        </w:rPr>
        <w:t>对不涉及的内容可填写“/”，</w:t>
      </w:r>
      <w:r>
        <w:rPr>
          <w:rFonts w:hint="eastAsia"/>
          <w:color w:val="auto"/>
          <w:highlight w:val="none"/>
        </w:rPr>
        <w:t>不影响投标资质及效力。</w:t>
      </w:r>
    </w:p>
    <w:p>
      <w:pPr>
        <w:pStyle w:val="50"/>
        <w:bidi w:val="0"/>
        <w:rPr>
          <w:rFonts w:hint="eastAsia" w:eastAsia="宋体"/>
          <w:color w:val="auto"/>
          <w:highlight w:val="none"/>
          <w:lang w:val="en-US" w:eastAsia="zh-CN"/>
        </w:rPr>
      </w:pPr>
      <w:r>
        <w:rPr>
          <w:rFonts w:hint="eastAsia"/>
          <w:color w:val="auto"/>
          <w:highlight w:val="none"/>
          <w:lang w:val="en-US" w:eastAsia="zh-CN"/>
        </w:rPr>
        <w:t>②</w:t>
      </w:r>
      <w:r>
        <w:rPr>
          <w:rFonts w:hint="eastAsia"/>
          <w:color w:val="auto"/>
          <w:highlight w:val="none"/>
        </w:rPr>
        <w:t>从业人员、营业收入、资产总额填报上一年度数据，无上一年度数据的新成立企业可不填报</w:t>
      </w:r>
      <w:r>
        <w:rPr>
          <w:rFonts w:hint="eastAsia"/>
          <w:color w:val="auto"/>
          <w:highlight w:val="none"/>
          <w:lang w:eastAsia="zh-CN"/>
        </w:rPr>
        <w:t>。</w:t>
      </w: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ascii="宋体" w:hAnsi="宋体" w:eastAsia="宋体"/>
          <w:color w:val="auto"/>
          <w:highlight w:val="none"/>
        </w:rPr>
      </w:pPr>
      <w:r>
        <w:rPr>
          <w:rFonts w:hint="eastAsia"/>
          <w:color w:val="auto"/>
          <w:highlight w:val="none"/>
        </w:rPr>
        <w:t>投标日期</w:t>
      </w:r>
      <w:r>
        <w:rPr>
          <w:rFonts w:hint="eastAsia"/>
          <w:color w:val="auto"/>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t xml:space="preserve">       </w:t>
      </w:r>
    </w:p>
    <w:p>
      <w:pPr>
        <w:pStyle w:val="29"/>
        <w:bidi w:val="0"/>
        <w:rPr>
          <w:rFonts w:hint="eastAsia"/>
          <w:color w:val="auto"/>
          <w:highlight w:val="none"/>
          <w:lang w:val="en-US" w:eastAsia="zh-CN"/>
        </w:rPr>
      </w:pPr>
      <w:r>
        <w:rPr>
          <w:rFonts w:hint="eastAsia"/>
          <w:color w:val="auto"/>
          <w:highlight w:val="none"/>
          <w:lang w:val="en-US" w:eastAsia="zh-CN"/>
        </w:rPr>
        <w:br w:type="page"/>
      </w:r>
    </w:p>
    <w:p>
      <w:pPr>
        <w:pStyle w:val="48"/>
        <w:numPr>
          <w:ilvl w:val="0"/>
          <w:numId w:val="21"/>
        </w:numPr>
        <w:bidi w:val="0"/>
        <w:ind w:left="0" w:leftChars="0" w:firstLine="0" w:firstLineChars="0"/>
        <w:rPr>
          <w:rFonts w:hint="eastAsia"/>
          <w:color w:val="auto"/>
          <w:highlight w:val="none"/>
          <w:lang w:val="en-US" w:eastAsia="zh-CN"/>
        </w:rPr>
      </w:pPr>
      <w:bookmarkStart w:id="896" w:name="_Toc30970"/>
      <w:bookmarkStart w:id="897" w:name="_Toc1650"/>
      <w:bookmarkStart w:id="898" w:name="_Toc30133"/>
      <w:bookmarkStart w:id="899" w:name="_Toc19766"/>
      <w:bookmarkStart w:id="900" w:name="_Toc5308"/>
      <w:r>
        <w:rPr>
          <w:rFonts w:hint="eastAsia"/>
          <w:color w:val="auto"/>
          <w:highlight w:val="none"/>
          <w:lang w:val="en-US" w:eastAsia="zh-CN"/>
        </w:rPr>
        <w:t>开标一览表</w:t>
      </w:r>
      <w:bookmarkEnd w:id="896"/>
      <w:bookmarkEnd w:id="897"/>
      <w:bookmarkEnd w:id="898"/>
      <w:bookmarkEnd w:id="899"/>
      <w:bookmarkEnd w:id="900"/>
    </w:p>
    <w:p>
      <w:pPr>
        <w:pStyle w:val="25"/>
        <w:bidi w:val="0"/>
        <w:rPr>
          <w:rFonts w:hint="eastAsia"/>
          <w:color w:val="auto"/>
          <w:highlight w:val="none"/>
          <w:u w:val="singl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25"/>
        <w:bidi w:val="0"/>
        <w:rPr>
          <w:rFonts w:hint="eastAsia"/>
          <w:color w:val="auto"/>
          <w:highlight w:val="none"/>
          <w:u w:val="singl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u w:val="single"/>
          <w:lang w:val="en-US" w:eastAsia="zh-CN"/>
        </w:rPr>
        <w:t xml:space="preserve">          </w:t>
      </w:r>
    </w:p>
    <w:tbl>
      <w:tblPr>
        <w:tblStyle w:val="18"/>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148"/>
        <w:gridCol w:w="2154"/>
        <w:gridCol w:w="2148"/>
        <w:gridCol w:w="214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0" w:type="pct"/>
            <w:vAlign w:val="center"/>
          </w:tcPr>
          <w:p>
            <w:pPr>
              <w:pStyle w:val="49"/>
              <w:bidi w:val="0"/>
              <w:rPr>
                <w:rFonts w:hint="eastAsia"/>
                <w:b/>
                <w:bCs/>
                <w:color w:val="auto"/>
                <w:highlight w:val="none"/>
              </w:rPr>
            </w:pPr>
            <w:r>
              <w:rPr>
                <w:rFonts w:hint="eastAsia"/>
                <w:b/>
                <w:bCs/>
                <w:color w:val="auto"/>
                <w:highlight w:val="none"/>
              </w:rPr>
              <w:t>序号</w:t>
            </w:r>
          </w:p>
        </w:tc>
        <w:tc>
          <w:tcPr>
            <w:tcW w:w="1079" w:type="pct"/>
            <w:vAlign w:val="center"/>
          </w:tcPr>
          <w:p>
            <w:pPr>
              <w:pStyle w:val="49"/>
              <w:bidi w:val="0"/>
              <w:rPr>
                <w:rFonts w:hint="default" w:eastAsia="宋体"/>
                <w:b/>
                <w:bCs/>
                <w:color w:val="auto"/>
                <w:highlight w:val="none"/>
                <w:lang w:val="en-US" w:eastAsia="zh-CN"/>
              </w:rPr>
            </w:pPr>
            <w:r>
              <w:rPr>
                <w:rFonts w:hint="eastAsia" w:ascii="宋体" w:hAnsi="宋体" w:eastAsia="宋体" w:cs="宋体"/>
                <w:b/>
                <w:bCs/>
                <w:color w:val="auto"/>
                <w:sz w:val="21"/>
                <w:szCs w:val="21"/>
                <w:highlight w:val="none"/>
              </w:rPr>
              <w:t>设备名称</w:t>
            </w:r>
          </w:p>
        </w:tc>
        <w:tc>
          <w:tcPr>
            <w:tcW w:w="1082" w:type="pct"/>
            <w:vAlign w:val="center"/>
          </w:tcPr>
          <w:p>
            <w:pPr>
              <w:pStyle w:val="49"/>
              <w:bidi w:val="0"/>
              <w:rPr>
                <w:rFonts w:hint="eastAsia"/>
                <w:b/>
                <w:bCs/>
                <w:color w:val="auto"/>
                <w:highlight w:val="none"/>
              </w:rPr>
            </w:pPr>
            <w:r>
              <w:rPr>
                <w:rFonts w:hint="eastAsia"/>
                <w:b/>
                <w:bCs/>
                <w:color w:val="auto"/>
                <w:highlight w:val="none"/>
              </w:rPr>
              <w:t>投标</w:t>
            </w:r>
            <w:r>
              <w:rPr>
                <w:rFonts w:hint="eastAsia"/>
                <w:b/>
                <w:bCs/>
                <w:color w:val="auto"/>
                <w:highlight w:val="none"/>
                <w:lang w:val="en-US" w:eastAsia="zh-CN"/>
              </w:rPr>
              <w:t>报价</w:t>
            </w:r>
            <w:r>
              <w:rPr>
                <w:rFonts w:hint="eastAsia"/>
                <w:b/>
                <w:bCs/>
                <w:color w:val="auto"/>
                <w:highlight w:val="none"/>
                <w:lang w:eastAsia="zh-CN"/>
              </w:rPr>
              <w:t>(</w:t>
            </w:r>
            <w:r>
              <w:rPr>
                <w:rFonts w:hint="eastAsia"/>
                <w:b/>
                <w:bCs/>
                <w:color w:val="auto"/>
                <w:highlight w:val="none"/>
              </w:rPr>
              <w:t>元</w:t>
            </w:r>
            <w:r>
              <w:rPr>
                <w:rFonts w:hint="eastAsia"/>
                <w:b/>
                <w:bCs/>
                <w:color w:val="auto"/>
                <w:highlight w:val="none"/>
                <w:lang w:eastAsia="zh-CN"/>
              </w:rPr>
              <w:t>)</w:t>
            </w:r>
          </w:p>
        </w:tc>
        <w:tc>
          <w:tcPr>
            <w:tcW w:w="1079" w:type="pct"/>
            <w:vAlign w:val="center"/>
          </w:tcPr>
          <w:p>
            <w:pPr>
              <w:pStyle w:val="49"/>
              <w:bidi w:val="0"/>
              <w:rPr>
                <w:rFonts w:hint="default"/>
                <w:b/>
                <w:bCs/>
                <w:color w:val="auto"/>
                <w:highlight w:val="none"/>
                <w:lang w:val="en-US" w:eastAsia="zh-CN"/>
              </w:rPr>
            </w:pPr>
            <w:r>
              <w:rPr>
                <w:rFonts w:hint="eastAsia"/>
                <w:b/>
                <w:bCs/>
                <w:color w:val="auto"/>
                <w:highlight w:val="none"/>
                <w:lang w:val="en-US" w:eastAsia="zh-CN"/>
              </w:rPr>
              <w:t>投标总价</w:t>
            </w:r>
          </w:p>
        </w:tc>
        <w:tc>
          <w:tcPr>
            <w:tcW w:w="1079" w:type="pct"/>
            <w:vAlign w:val="center"/>
          </w:tcPr>
          <w:p>
            <w:pPr>
              <w:pStyle w:val="49"/>
              <w:bidi w:val="0"/>
              <w:rPr>
                <w:rFonts w:hint="eastAsia"/>
                <w:b/>
                <w:bCs/>
                <w:color w:val="auto"/>
                <w:highlight w:val="none"/>
              </w:rPr>
            </w:pPr>
            <w:r>
              <w:rPr>
                <w:rFonts w:hint="eastAsia"/>
                <w:b/>
                <w:bCs/>
                <w:color w:val="auto"/>
                <w:highlight w:val="none"/>
                <w:lang w:val="en-US" w:eastAsia="zh-CN"/>
              </w:rPr>
              <w:t>履约时间</w:t>
            </w:r>
          </w:p>
        </w:tc>
        <w:tc>
          <w:tcPr>
            <w:tcW w:w="387" w:type="pct"/>
            <w:vAlign w:val="center"/>
          </w:tcPr>
          <w:p>
            <w:pPr>
              <w:pStyle w:val="49"/>
              <w:bidi w:val="0"/>
              <w:rPr>
                <w:rFonts w:hint="eastAsia"/>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0" w:type="pct"/>
            <w:vAlign w:val="center"/>
          </w:tcPr>
          <w:p>
            <w:pPr>
              <w:pStyle w:val="25"/>
              <w:bidi w:val="0"/>
              <w:jc w:val="center"/>
              <w:rPr>
                <w:rFonts w:hint="eastAsia" w:eastAsia="宋体"/>
                <w:color w:val="auto"/>
                <w:highlight w:val="none"/>
                <w:lang w:val="en-US" w:eastAsia="zh-CN"/>
              </w:rPr>
            </w:pPr>
            <w:r>
              <w:rPr>
                <w:rFonts w:hint="eastAsia"/>
                <w:color w:val="auto"/>
                <w:highlight w:val="none"/>
                <w:lang w:val="en-US" w:eastAsia="zh-CN"/>
              </w:rPr>
              <w:t>1</w:t>
            </w:r>
          </w:p>
        </w:tc>
        <w:tc>
          <w:tcPr>
            <w:tcW w:w="1079" w:type="pct"/>
            <w:vAlign w:val="center"/>
          </w:tcPr>
          <w:p>
            <w:pPr>
              <w:pStyle w:val="25"/>
              <w:bidi w:val="0"/>
              <w:rPr>
                <w:rFonts w:hint="eastAsia"/>
                <w:color w:val="auto"/>
                <w:highlight w:val="none"/>
              </w:rPr>
            </w:pPr>
          </w:p>
        </w:tc>
        <w:tc>
          <w:tcPr>
            <w:tcW w:w="1082" w:type="pct"/>
            <w:vAlign w:val="center"/>
          </w:tcPr>
          <w:p>
            <w:pPr>
              <w:pStyle w:val="25"/>
              <w:bidi w:val="0"/>
              <w:rPr>
                <w:rFonts w:hint="eastAsia"/>
                <w:color w:val="auto"/>
                <w:highlight w:val="none"/>
              </w:rPr>
            </w:pPr>
          </w:p>
        </w:tc>
        <w:tc>
          <w:tcPr>
            <w:tcW w:w="1079" w:type="pct"/>
            <w:vMerge w:val="restart"/>
            <w:vAlign w:val="center"/>
          </w:tcPr>
          <w:p>
            <w:pPr>
              <w:pStyle w:val="25"/>
              <w:bidi w:val="0"/>
              <w:rPr>
                <w:rFonts w:hint="eastAsia"/>
                <w:color w:val="auto"/>
                <w:sz w:val="21"/>
                <w:szCs w:val="21"/>
                <w:highlight w:val="none"/>
                <w:lang w:val="en-US" w:eastAsia="zh-CN"/>
              </w:rPr>
            </w:pPr>
            <w:r>
              <w:rPr>
                <w:rFonts w:hint="eastAsia"/>
                <w:color w:val="auto"/>
                <w:sz w:val="21"/>
                <w:szCs w:val="21"/>
                <w:highlight w:val="none"/>
                <w:lang w:val="en-US" w:eastAsia="zh-CN"/>
              </w:rPr>
              <w:t>小写：</w:t>
            </w:r>
          </w:p>
          <w:p>
            <w:pPr>
              <w:pStyle w:val="25"/>
              <w:bidi w:val="0"/>
              <w:rPr>
                <w:rFonts w:hint="default"/>
                <w:color w:val="auto"/>
                <w:highlight w:val="none"/>
                <w:lang w:val="en-US" w:eastAsia="zh-CN"/>
              </w:rPr>
            </w:pPr>
            <w:r>
              <w:rPr>
                <w:rFonts w:hint="eastAsia"/>
                <w:color w:val="auto"/>
                <w:sz w:val="21"/>
                <w:szCs w:val="21"/>
                <w:highlight w:val="none"/>
                <w:lang w:val="en-US" w:eastAsia="zh-CN"/>
              </w:rPr>
              <w:t>大写：</w:t>
            </w:r>
          </w:p>
        </w:tc>
        <w:tc>
          <w:tcPr>
            <w:tcW w:w="1079" w:type="pct"/>
            <w:vMerge w:val="restart"/>
            <w:vAlign w:val="center"/>
          </w:tcPr>
          <w:p>
            <w:pPr>
              <w:pStyle w:val="25"/>
              <w:bidi w:val="0"/>
              <w:rPr>
                <w:rFonts w:hint="eastAsia"/>
                <w:color w:val="auto"/>
                <w:highlight w:val="none"/>
              </w:rPr>
            </w:pPr>
          </w:p>
        </w:tc>
        <w:tc>
          <w:tcPr>
            <w:tcW w:w="387" w:type="pct"/>
            <w:vAlign w:val="center"/>
          </w:tcPr>
          <w:p>
            <w:pPr>
              <w:pStyle w:val="2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0" w:type="pct"/>
            <w:vAlign w:val="center"/>
          </w:tcPr>
          <w:p>
            <w:pPr>
              <w:pStyle w:val="25"/>
              <w:bidi w:val="0"/>
              <w:jc w:val="center"/>
              <w:rPr>
                <w:rFonts w:hint="eastAsia" w:eastAsia="宋体"/>
                <w:color w:val="auto"/>
                <w:highlight w:val="none"/>
                <w:lang w:val="en-US" w:eastAsia="zh-CN"/>
              </w:rPr>
            </w:pPr>
            <w:r>
              <w:rPr>
                <w:rFonts w:hint="eastAsia"/>
                <w:color w:val="auto"/>
                <w:highlight w:val="none"/>
                <w:lang w:val="en-US" w:eastAsia="zh-CN"/>
              </w:rPr>
              <w:t>2</w:t>
            </w:r>
          </w:p>
        </w:tc>
        <w:tc>
          <w:tcPr>
            <w:tcW w:w="1079" w:type="pct"/>
            <w:vAlign w:val="center"/>
          </w:tcPr>
          <w:p>
            <w:pPr>
              <w:pStyle w:val="25"/>
              <w:bidi w:val="0"/>
              <w:rPr>
                <w:rFonts w:hint="eastAsia"/>
                <w:color w:val="auto"/>
                <w:highlight w:val="none"/>
              </w:rPr>
            </w:pPr>
          </w:p>
        </w:tc>
        <w:tc>
          <w:tcPr>
            <w:tcW w:w="1082" w:type="pct"/>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387" w:type="pct"/>
            <w:vAlign w:val="center"/>
          </w:tcPr>
          <w:p>
            <w:pPr>
              <w:pStyle w:val="2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0" w:type="pct"/>
            <w:vAlign w:val="center"/>
          </w:tcPr>
          <w:p>
            <w:pPr>
              <w:pStyle w:val="25"/>
              <w:bidi w:val="0"/>
              <w:jc w:val="center"/>
              <w:rPr>
                <w:rFonts w:hint="eastAsia" w:eastAsia="宋体"/>
                <w:color w:val="auto"/>
                <w:highlight w:val="none"/>
                <w:lang w:val="en-US" w:eastAsia="zh-CN"/>
              </w:rPr>
            </w:pPr>
            <w:r>
              <w:rPr>
                <w:rFonts w:hint="eastAsia"/>
                <w:color w:val="auto"/>
                <w:highlight w:val="none"/>
                <w:lang w:val="en-US" w:eastAsia="zh-CN"/>
              </w:rPr>
              <w:t>…</w:t>
            </w:r>
          </w:p>
        </w:tc>
        <w:tc>
          <w:tcPr>
            <w:tcW w:w="1079" w:type="pct"/>
            <w:vAlign w:val="center"/>
          </w:tcPr>
          <w:p>
            <w:pPr>
              <w:pStyle w:val="25"/>
              <w:bidi w:val="0"/>
              <w:rPr>
                <w:rFonts w:hint="eastAsia"/>
                <w:color w:val="auto"/>
                <w:highlight w:val="none"/>
              </w:rPr>
            </w:pPr>
          </w:p>
        </w:tc>
        <w:tc>
          <w:tcPr>
            <w:tcW w:w="1082" w:type="pct"/>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387" w:type="pct"/>
            <w:vAlign w:val="center"/>
          </w:tcPr>
          <w:p>
            <w:pPr>
              <w:pStyle w:val="2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0" w:type="pct"/>
            <w:vAlign w:val="top"/>
          </w:tcPr>
          <w:p>
            <w:pPr>
              <w:pStyle w:val="25"/>
              <w:bidi w:val="0"/>
              <w:jc w:val="center"/>
              <w:rPr>
                <w:rFonts w:hint="eastAsia"/>
                <w:color w:val="auto"/>
                <w:highlight w:val="none"/>
              </w:rPr>
            </w:pPr>
          </w:p>
        </w:tc>
        <w:tc>
          <w:tcPr>
            <w:tcW w:w="1079" w:type="pct"/>
            <w:vAlign w:val="center"/>
          </w:tcPr>
          <w:p>
            <w:pPr>
              <w:pStyle w:val="25"/>
              <w:bidi w:val="0"/>
              <w:rPr>
                <w:rFonts w:hint="eastAsia"/>
                <w:color w:val="auto"/>
                <w:highlight w:val="none"/>
              </w:rPr>
            </w:pPr>
          </w:p>
        </w:tc>
        <w:tc>
          <w:tcPr>
            <w:tcW w:w="1082" w:type="pct"/>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1079" w:type="pct"/>
            <w:vMerge w:val="continue"/>
            <w:vAlign w:val="center"/>
          </w:tcPr>
          <w:p>
            <w:pPr>
              <w:pStyle w:val="25"/>
              <w:bidi w:val="0"/>
              <w:rPr>
                <w:rFonts w:hint="eastAsia"/>
                <w:color w:val="auto"/>
                <w:highlight w:val="none"/>
              </w:rPr>
            </w:pPr>
          </w:p>
        </w:tc>
        <w:tc>
          <w:tcPr>
            <w:tcW w:w="387" w:type="pct"/>
            <w:vAlign w:val="center"/>
          </w:tcPr>
          <w:p>
            <w:pPr>
              <w:pStyle w:val="25"/>
              <w:bidi w:val="0"/>
              <w:rPr>
                <w:rFonts w:hint="eastAsia"/>
                <w:color w:val="auto"/>
                <w:highlight w:val="none"/>
              </w:rPr>
            </w:pPr>
          </w:p>
        </w:tc>
      </w:tr>
    </w:tbl>
    <w:p>
      <w:pPr>
        <w:pStyle w:val="50"/>
        <w:bidi w:val="0"/>
        <w:rPr>
          <w:rFonts w:hint="eastAsia"/>
          <w:b w:val="0"/>
          <w:bCs/>
          <w:color w:val="auto"/>
          <w:highlight w:val="none"/>
        </w:rPr>
      </w:pPr>
      <w:r>
        <w:rPr>
          <w:rFonts w:hint="eastAsia"/>
          <w:color w:val="auto"/>
          <w:highlight w:val="none"/>
          <w:lang w:eastAsia="zh-CN"/>
        </w:rPr>
        <w:t>注：</w:t>
      </w:r>
      <w:r>
        <w:rPr>
          <w:rFonts w:hint="eastAsia"/>
          <w:b w:val="0"/>
          <w:bCs/>
          <w:color w:val="auto"/>
          <w:highlight w:val="none"/>
          <w:lang w:val="en-US" w:eastAsia="zh-CN"/>
        </w:rPr>
        <w:t>①</w:t>
      </w:r>
      <w:r>
        <w:rPr>
          <w:rFonts w:hint="eastAsia"/>
          <w:b w:val="0"/>
          <w:bCs/>
          <w:color w:val="auto"/>
          <w:highlight w:val="none"/>
        </w:rPr>
        <w:t>报价应是投标</w:t>
      </w:r>
      <w:bookmarkStart w:id="1321" w:name="_GoBack"/>
      <w:bookmarkEnd w:id="1321"/>
      <w:r>
        <w:rPr>
          <w:rFonts w:hint="eastAsia"/>
          <w:b w:val="0"/>
          <w:bCs/>
          <w:color w:val="auto"/>
          <w:highlight w:val="none"/>
        </w:rPr>
        <w:t>人响应招标项目要求的全部</w:t>
      </w:r>
      <w:r>
        <w:rPr>
          <w:rFonts w:hint="eastAsia"/>
          <w:b w:val="0"/>
          <w:bCs/>
          <w:color w:val="auto"/>
          <w:highlight w:val="none"/>
          <w:lang w:val="en-US" w:eastAsia="zh-CN"/>
        </w:rPr>
        <w:t>采购</w:t>
      </w:r>
      <w:r>
        <w:rPr>
          <w:rFonts w:hint="eastAsia"/>
          <w:b w:val="0"/>
          <w:bCs/>
          <w:color w:val="auto"/>
          <w:highlight w:val="none"/>
        </w:rPr>
        <w:t>内容的价格体现，包括货物设计、材料、制造、包装、运输、安装、调试、检测、质保期内保修服务</w:t>
      </w:r>
      <w:r>
        <w:rPr>
          <w:rFonts w:hint="eastAsia"/>
          <w:b w:val="0"/>
          <w:bCs/>
          <w:color w:val="auto"/>
          <w:highlight w:val="none"/>
          <w:lang w:val="en-US" w:eastAsia="zh-CN"/>
        </w:rPr>
        <w:t>、</w:t>
      </w:r>
      <w:r>
        <w:rPr>
          <w:rFonts w:hint="eastAsia"/>
          <w:b w:val="0"/>
          <w:bCs/>
          <w:color w:val="auto"/>
          <w:highlight w:val="none"/>
        </w:rPr>
        <w:t>备用物件</w:t>
      </w:r>
      <w:r>
        <w:rPr>
          <w:rFonts w:hint="eastAsia"/>
          <w:b w:val="0"/>
          <w:bCs/>
          <w:color w:val="auto"/>
          <w:highlight w:val="none"/>
          <w:lang w:eastAsia="zh-CN"/>
        </w:rPr>
        <w:t>、</w:t>
      </w:r>
      <w:r>
        <w:rPr>
          <w:rFonts w:hint="eastAsia"/>
          <w:b w:val="0"/>
          <w:bCs/>
          <w:color w:val="auto"/>
          <w:highlight w:val="none"/>
        </w:rPr>
        <w:t>税费等</w:t>
      </w:r>
      <w:r>
        <w:rPr>
          <w:rFonts w:hint="eastAsia"/>
          <w:b w:val="0"/>
          <w:bCs/>
          <w:color w:val="auto"/>
          <w:highlight w:val="none"/>
          <w:lang w:val="en-US" w:eastAsia="zh-CN"/>
        </w:rPr>
        <w:t>完成本项目所需的一切费用</w:t>
      </w:r>
      <w:r>
        <w:rPr>
          <w:rFonts w:hint="eastAsia"/>
          <w:b w:val="0"/>
          <w:bCs/>
          <w:color w:val="auto"/>
          <w:highlight w:val="none"/>
        </w:rPr>
        <w:t>。</w:t>
      </w:r>
    </w:p>
    <w:p>
      <w:pPr>
        <w:pStyle w:val="50"/>
        <w:bidi w:val="0"/>
        <w:rPr>
          <w:rFonts w:hint="eastAsia"/>
          <w:b w:val="0"/>
          <w:bCs/>
          <w:color w:val="auto"/>
          <w:highlight w:val="none"/>
        </w:rPr>
      </w:pPr>
      <w:r>
        <w:rPr>
          <w:rFonts w:hint="eastAsia"/>
          <w:b w:val="0"/>
          <w:bCs/>
          <w:color w:val="auto"/>
          <w:highlight w:val="none"/>
          <w:lang w:val="en-US" w:eastAsia="zh-CN"/>
        </w:rPr>
        <w:t>②</w:t>
      </w:r>
      <w:r>
        <w:rPr>
          <w:rFonts w:hint="eastAsia"/>
          <w:b/>
          <w:bCs w:val="0"/>
          <w:color w:val="auto"/>
          <w:highlight w:val="none"/>
        </w:rPr>
        <w:t>“开标一览表”为多页的，</w:t>
      </w:r>
      <w:r>
        <w:rPr>
          <w:rFonts w:hint="eastAsia"/>
          <w:b/>
          <w:bCs w:val="0"/>
          <w:color w:val="auto"/>
          <w:highlight w:val="none"/>
        </w:rPr>
        <w:t>每页均需由</w:t>
      </w:r>
      <w:r>
        <w:rPr>
          <w:rFonts w:hint="eastAsia"/>
          <w:b/>
          <w:bCs w:val="0"/>
          <w:color w:val="auto"/>
          <w:highlight w:val="none"/>
          <w:lang w:eastAsia="zh-CN"/>
        </w:rPr>
        <w:t>法定代表人/单位负责人或授权代表</w:t>
      </w:r>
      <w:r>
        <w:rPr>
          <w:rFonts w:hint="eastAsia"/>
          <w:b/>
          <w:bCs w:val="0"/>
          <w:color w:val="auto"/>
          <w:highlight w:val="none"/>
        </w:rPr>
        <w:t>签字并盖投标人印章</w:t>
      </w:r>
      <w:r>
        <w:rPr>
          <w:rFonts w:hint="eastAsia"/>
          <w:b/>
          <w:bCs w:val="0"/>
          <w:color w:val="auto"/>
          <w:highlight w:val="none"/>
          <w:lang w:eastAsia="zh-CN"/>
        </w:rPr>
        <w:t>，</w:t>
      </w:r>
      <w:r>
        <w:rPr>
          <w:rFonts w:hint="eastAsia"/>
          <w:b/>
          <w:bCs w:val="0"/>
          <w:color w:val="auto"/>
          <w:highlight w:val="none"/>
          <w:lang w:val="en-US" w:eastAsia="zh-CN"/>
        </w:rPr>
        <w:t>否则作无效投标处理</w:t>
      </w:r>
      <w:r>
        <w:rPr>
          <w:rFonts w:hint="eastAsia"/>
          <w:b/>
          <w:bCs w:val="0"/>
          <w:color w:val="auto"/>
          <w:highlight w:val="none"/>
        </w:rPr>
        <w:t>。</w:t>
      </w:r>
    </w:p>
    <w:p>
      <w:pPr>
        <w:pStyle w:val="50"/>
        <w:bidi w:val="0"/>
        <w:rPr>
          <w:color w:val="auto"/>
          <w:highlight w:val="none"/>
        </w:rPr>
      </w:pPr>
      <w:r>
        <w:rPr>
          <w:rFonts w:hint="eastAsia"/>
          <w:color w:val="auto"/>
          <w:highlight w:val="none"/>
        </w:rPr>
        <w:t>③“开标一览表”除了单独密封递交外，</w:t>
      </w:r>
      <w:r>
        <w:rPr>
          <w:rFonts w:hint="eastAsia"/>
          <w:color w:val="auto"/>
          <w:highlight w:val="none"/>
          <w:lang w:val="en-US" w:eastAsia="zh-CN"/>
        </w:rPr>
        <w:t>其他</w:t>
      </w:r>
      <w:r>
        <w:rPr>
          <w:rFonts w:hint="eastAsia"/>
          <w:color w:val="auto"/>
          <w:highlight w:val="none"/>
        </w:rPr>
        <w:t>投标文件(正副本)</w:t>
      </w:r>
      <w:r>
        <w:rPr>
          <w:rFonts w:hint="eastAsia"/>
          <w:color w:val="auto"/>
          <w:highlight w:val="none"/>
          <w:lang w:val="en-US" w:eastAsia="zh-CN"/>
        </w:rPr>
        <w:t>中</w:t>
      </w:r>
      <w:r>
        <w:rPr>
          <w:rFonts w:hint="eastAsia"/>
          <w:color w:val="auto"/>
          <w:highlight w:val="none"/>
        </w:rPr>
        <w:t>也应当提供，如有遗漏，将视为无效投标。</w:t>
      </w:r>
    </w:p>
    <w:p>
      <w:pPr>
        <w:pStyle w:val="25"/>
        <w:bidi w:val="0"/>
        <w:rPr>
          <w:rFonts w:hint="eastAsia"/>
          <w:color w:val="auto"/>
          <w:highlight w:val="none"/>
          <w:lang w:eastAsia="zh-CN"/>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rPr>
        <w:t>投标日期：</w:t>
      </w:r>
      <w:bookmarkStart w:id="901" w:name="_Toc7728"/>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br w:type="page"/>
      </w:r>
    </w:p>
    <w:p>
      <w:pPr>
        <w:pStyle w:val="48"/>
        <w:numPr>
          <w:ilvl w:val="0"/>
          <w:numId w:val="21"/>
        </w:numPr>
        <w:bidi w:val="0"/>
        <w:ind w:left="0" w:leftChars="0" w:firstLine="0" w:firstLineChars="0"/>
        <w:rPr>
          <w:rFonts w:hint="eastAsia"/>
          <w:color w:val="auto"/>
          <w:highlight w:val="none"/>
          <w:lang w:val="en-US" w:eastAsia="zh-CN"/>
        </w:rPr>
      </w:pPr>
      <w:bookmarkStart w:id="902" w:name="_Toc19101"/>
      <w:bookmarkStart w:id="903" w:name="_Toc32722"/>
      <w:bookmarkStart w:id="904" w:name="_Toc23742"/>
      <w:r>
        <w:rPr>
          <w:rFonts w:hint="eastAsia"/>
          <w:color w:val="auto"/>
          <w:highlight w:val="none"/>
          <w:lang w:val="en-US" w:eastAsia="zh-CN"/>
        </w:rPr>
        <w:t>分项报价明细表</w:t>
      </w:r>
      <w:bookmarkEnd w:id="901"/>
      <w:bookmarkEnd w:id="902"/>
      <w:bookmarkEnd w:id="903"/>
      <w:bookmarkEnd w:id="904"/>
    </w:p>
    <w:p>
      <w:pPr>
        <w:pStyle w:val="25"/>
        <w:bidi w:val="0"/>
        <w:rPr>
          <w:rFonts w:hint="eastAsia"/>
          <w:b w:val="0"/>
          <w:bCs w:val="0"/>
          <w:color w:val="auto"/>
          <w:highlight w:val="none"/>
          <w:u w:val="single"/>
        </w:rPr>
      </w:pPr>
      <w:r>
        <w:rPr>
          <w:rFonts w:hint="eastAsia"/>
          <w:b w:val="0"/>
          <w:bCs w:val="0"/>
          <w:color w:val="auto"/>
          <w:highlight w:val="none"/>
        </w:rPr>
        <w:t>项目名称：</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r>
        <w:rPr>
          <w:rFonts w:hint="eastAsia"/>
          <w:b w:val="0"/>
          <w:bCs w:val="0"/>
          <w:color w:val="auto"/>
          <w:highlight w:val="none"/>
          <w:u w:val="single"/>
        </w:rPr>
        <w:t xml:space="preserve"> </w:t>
      </w:r>
    </w:p>
    <w:p>
      <w:pPr>
        <w:pStyle w:val="25"/>
        <w:bidi w:val="0"/>
        <w:rPr>
          <w:rFonts w:hint="eastAsia"/>
          <w:b w:val="0"/>
          <w:bCs w:val="0"/>
          <w:color w:val="auto"/>
          <w:highlight w:val="none"/>
          <w:u w:val="single"/>
        </w:rPr>
      </w:pPr>
      <w:r>
        <w:rPr>
          <w:rFonts w:hint="eastAsia"/>
          <w:b w:val="0"/>
          <w:bCs w:val="0"/>
          <w:color w:val="auto"/>
          <w:highlight w:val="none"/>
        </w:rPr>
        <w:t>项目编号：</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p>
    <w:tbl>
      <w:tblPr>
        <w:tblStyle w:val="18"/>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59"/>
        <w:gridCol w:w="1014"/>
        <w:gridCol w:w="1014"/>
        <w:gridCol w:w="1014"/>
        <w:gridCol w:w="1014"/>
        <w:gridCol w:w="1014"/>
        <w:gridCol w:w="1014"/>
        <w:gridCol w:w="101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jc w:val="center"/>
        </w:trPr>
        <w:tc>
          <w:tcPr>
            <w:tcW w:w="681" w:type="dxa"/>
            <w:vAlign w:val="center"/>
          </w:tcPr>
          <w:p>
            <w:pPr>
              <w:pStyle w:val="49"/>
              <w:rPr>
                <w:b/>
                <w:bCs/>
                <w:color w:val="auto"/>
                <w:highlight w:val="none"/>
              </w:rPr>
            </w:pPr>
            <w:bookmarkStart w:id="905" w:name="_Toc24396"/>
            <w:r>
              <w:rPr>
                <w:rFonts w:hint="eastAsia"/>
                <w:b/>
                <w:bCs/>
                <w:color w:val="auto"/>
                <w:highlight w:val="none"/>
              </w:rPr>
              <w:t>序号</w:t>
            </w:r>
            <w:bookmarkEnd w:id="905"/>
          </w:p>
        </w:tc>
        <w:tc>
          <w:tcPr>
            <w:tcW w:w="1159" w:type="dxa"/>
            <w:vAlign w:val="center"/>
          </w:tcPr>
          <w:p>
            <w:pPr>
              <w:pStyle w:val="49"/>
              <w:rPr>
                <w:b/>
                <w:bCs/>
                <w:color w:val="auto"/>
                <w:highlight w:val="none"/>
              </w:rPr>
            </w:pPr>
            <w:bookmarkStart w:id="906" w:name="_Toc10307"/>
            <w:r>
              <w:rPr>
                <w:rFonts w:hint="eastAsia"/>
                <w:b/>
                <w:bCs/>
                <w:color w:val="auto"/>
                <w:highlight w:val="none"/>
              </w:rPr>
              <w:t>产品名称</w:t>
            </w:r>
            <w:bookmarkEnd w:id="906"/>
          </w:p>
        </w:tc>
        <w:tc>
          <w:tcPr>
            <w:tcW w:w="1014" w:type="dxa"/>
            <w:vAlign w:val="center"/>
          </w:tcPr>
          <w:p>
            <w:pPr>
              <w:pStyle w:val="49"/>
              <w:rPr>
                <w:b/>
                <w:bCs/>
                <w:color w:val="auto"/>
                <w:highlight w:val="none"/>
              </w:rPr>
            </w:pPr>
            <w:r>
              <w:rPr>
                <w:rFonts w:hint="eastAsia"/>
                <w:b/>
                <w:bCs/>
                <w:color w:val="auto"/>
                <w:highlight w:val="none"/>
              </w:rPr>
              <w:t>品牌</w:t>
            </w:r>
          </w:p>
        </w:tc>
        <w:tc>
          <w:tcPr>
            <w:tcW w:w="1014" w:type="dxa"/>
            <w:vAlign w:val="center"/>
          </w:tcPr>
          <w:p>
            <w:pPr>
              <w:pStyle w:val="49"/>
              <w:rPr>
                <w:b/>
                <w:bCs/>
                <w:color w:val="auto"/>
                <w:highlight w:val="none"/>
              </w:rPr>
            </w:pPr>
            <w:bookmarkStart w:id="907" w:name="_Toc3010"/>
            <w:r>
              <w:rPr>
                <w:rFonts w:hint="eastAsia"/>
                <w:b/>
                <w:bCs/>
                <w:color w:val="auto"/>
                <w:highlight w:val="none"/>
              </w:rPr>
              <w:t>规格</w:t>
            </w:r>
            <w:bookmarkEnd w:id="907"/>
          </w:p>
        </w:tc>
        <w:tc>
          <w:tcPr>
            <w:tcW w:w="1014" w:type="dxa"/>
            <w:vAlign w:val="center"/>
          </w:tcPr>
          <w:p>
            <w:pPr>
              <w:pStyle w:val="49"/>
              <w:rPr>
                <w:rFonts w:hint="eastAsia"/>
                <w:b/>
                <w:bCs/>
                <w:color w:val="auto"/>
                <w:highlight w:val="none"/>
              </w:rPr>
            </w:pPr>
            <w:r>
              <w:rPr>
                <w:rFonts w:hint="eastAsia"/>
                <w:b/>
                <w:bCs/>
                <w:color w:val="auto"/>
                <w:highlight w:val="none"/>
              </w:rPr>
              <w:t>型号</w:t>
            </w:r>
          </w:p>
        </w:tc>
        <w:tc>
          <w:tcPr>
            <w:tcW w:w="1014" w:type="dxa"/>
            <w:vAlign w:val="center"/>
          </w:tcPr>
          <w:p>
            <w:pPr>
              <w:pStyle w:val="49"/>
              <w:rPr>
                <w:b/>
                <w:bCs/>
                <w:color w:val="auto"/>
                <w:highlight w:val="none"/>
              </w:rPr>
            </w:pPr>
            <w:r>
              <w:rPr>
                <w:rFonts w:hint="eastAsia"/>
                <w:b/>
                <w:bCs/>
                <w:color w:val="auto"/>
                <w:highlight w:val="none"/>
              </w:rPr>
              <w:t>产地</w:t>
            </w:r>
          </w:p>
        </w:tc>
        <w:tc>
          <w:tcPr>
            <w:tcW w:w="1014" w:type="dxa"/>
            <w:vAlign w:val="center"/>
          </w:tcPr>
          <w:p>
            <w:pPr>
              <w:pStyle w:val="49"/>
              <w:rPr>
                <w:b/>
                <w:bCs/>
                <w:color w:val="auto"/>
                <w:highlight w:val="none"/>
              </w:rPr>
            </w:pPr>
            <w:bookmarkStart w:id="908" w:name="_Toc2282"/>
            <w:r>
              <w:rPr>
                <w:rFonts w:hint="eastAsia"/>
                <w:b/>
                <w:bCs/>
                <w:color w:val="auto"/>
                <w:highlight w:val="none"/>
              </w:rPr>
              <w:t>单价</w:t>
            </w:r>
            <w:bookmarkEnd w:id="908"/>
            <w:r>
              <w:rPr>
                <w:rFonts w:hint="eastAsia"/>
                <w:b/>
                <w:bCs/>
                <w:color w:val="auto"/>
                <w:highlight w:val="none"/>
              </w:rPr>
              <w:t>(元)</w:t>
            </w:r>
          </w:p>
        </w:tc>
        <w:tc>
          <w:tcPr>
            <w:tcW w:w="1014" w:type="dxa"/>
            <w:vAlign w:val="center"/>
          </w:tcPr>
          <w:p>
            <w:pPr>
              <w:pStyle w:val="49"/>
              <w:rPr>
                <w:b/>
                <w:bCs/>
                <w:color w:val="auto"/>
                <w:highlight w:val="none"/>
              </w:rPr>
            </w:pPr>
            <w:bookmarkStart w:id="909" w:name="_Toc7156"/>
            <w:r>
              <w:rPr>
                <w:rFonts w:hint="eastAsia"/>
                <w:b/>
                <w:bCs/>
                <w:color w:val="auto"/>
                <w:highlight w:val="none"/>
              </w:rPr>
              <w:t>数量</w:t>
            </w:r>
            <w:bookmarkEnd w:id="909"/>
          </w:p>
        </w:tc>
        <w:tc>
          <w:tcPr>
            <w:tcW w:w="1014" w:type="dxa"/>
            <w:vAlign w:val="center"/>
          </w:tcPr>
          <w:p>
            <w:pPr>
              <w:pStyle w:val="49"/>
              <w:rPr>
                <w:b/>
                <w:bCs/>
                <w:color w:val="auto"/>
                <w:highlight w:val="none"/>
              </w:rPr>
            </w:pPr>
            <w:r>
              <w:rPr>
                <w:rFonts w:hint="eastAsia"/>
                <w:b/>
                <w:bCs/>
                <w:color w:val="auto"/>
                <w:highlight w:val="none"/>
              </w:rPr>
              <w:t>单位</w:t>
            </w:r>
          </w:p>
        </w:tc>
        <w:tc>
          <w:tcPr>
            <w:tcW w:w="1018" w:type="dxa"/>
            <w:vAlign w:val="center"/>
          </w:tcPr>
          <w:p>
            <w:pPr>
              <w:pStyle w:val="49"/>
              <w:rPr>
                <w:b/>
                <w:bCs/>
                <w:color w:val="auto"/>
                <w:highlight w:val="none"/>
              </w:rPr>
            </w:pPr>
            <w:r>
              <w:rPr>
                <w:rFonts w:hint="eastAsia"/>
                <w:b/>
                <w:bCs/>
                <w:color w:val="auto"/>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9"/>
              <w:rPr>
                <w:b/>
                <w:bCs/>
                <w:color w:val="auto"/>
                <w:highlight w:val="none"/>
              </w:rPr>
            </w:pPr>
          </w:p>
        </w:tc>
        <w:tc>
          <w:tcPr>
            <w:tcW w:w="1159"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4" w:type="dxa"/>
            <w:vAlign w:val="center"/>
          </w:tcPr>
          <w:p>
            <w:pPr>
              <w:pStyle w:val="49"/>
              <w:rPr>
                <w:b/>
                <w:bCs/>
                <w:color w:val="auto"/>
                <w:highlight w:val="none"/>
              </w:rPr>
            </w:pPr>
          </w:p>
        </w:tc>
        <w:tc>
          <w:tcPr>
            <w:tcW w:w="1018" w:type="dxa"/>
            <w:vAlign w:val="center"/>
          </w:tcPr>
          <w:p>
            <w:pPr>
              <w:pStyle w:val="49"/>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25"/>
              <w:rPr>
                <w:color w:val="auto"/>
                <w:highlight w:val="none"/>
              </w:rPr>
            </w:pPr>
          </w:p>
        </w:tc>
        <w:tc>
          <w:tcPr>
            <w:tcW w:w="1159"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8" w:type="dxa"/>
            <w:vAlign w:val="center"/>
          </w:tcPr>
          <w:p>
            <w:pPr>
              <w:pStyle w:val="25"/>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25"/>
              <w:rPr>
                <w:color w:val="auto"/>
                <w:highlight w:val="none"/>
              </w:rPr>
            </w:pPr>
          </w:p>
        </w:tc>
        <w:tc>
          <w:tcPr>
            <w:tcW w:w="1159"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8" w:type="dxa"/>
            <w:vAlign w:val="center"/>
          </w:tcPr>
          <w:p>
            <w:pPr>
              <w:pStyle w:val="25"/>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tcBorders>
              <w:left w:val="single" w:color="auto" w:sz="4" w:space="0"/>
            </w:tcBorders>
            <w:vAlign w:val="center"/>
          </w:tcPr>
          <w:p>
            <w:pPr>
              <w:pStyle w:val="25"/>
              <w:rPr>
                <w:color w:val="auto"/>
                <w:highlight w:val="none"/>
              </w:rPr>
            </w:pPr>
          </w:p>
        </w:tc>
        <w:tc>
          <w:tcPr>
            <w:tcW w:w="1159"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8" w:type="dxa"/>
            <w:vAlign w:val="center"/>
          </w:tcPr>
          <w:p>
            <w:pPr>
              <w:pStyle w:val="25"/>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25"/>
              <w:rPr>
                <w:color w:val="auto"/>
                <w:highlight w:val="none"/>
              </w:rPr>
            </w:pPr>
          </w:p>
        </w:tc>
        <w:tc>
          <w:tcPr>
            <w:tcW w:w="1159"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8" w:type="dxa"/>
            <w:vAlign w:val="center"/>
          </w:tcPr>
          <w:p>
            <w:pPr>
              <w:pStyle w:val="25"/>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25"/>
              <w:rPr>
                <w:color w:val="auto"/>
                <w:highlight w:val="none"/>
              </w:rPr>
            </w:pPr>
          </w:p>
        </w:tc>
        <w:tc>
          <w:tcPr>
            <w:tcW w:w="1159"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4" w:type="dxa"/>
            <w:vAlign w:val="center"/>
          </w:tcPr>
          <w:p>
            <w:pPr>
              <w:pStyle w:val="25"/>
              <w:rPr>
                <w:color w:val="auto"/>
                <w:highlight w:val="none"/>
              </w:rPr>
            </w:pPr>
          </w:p>
        </w:tc>
        <w:tc>
          <w:tcPr>
            <w:tcW w:w="1018" w:type="dxa"/>
            <w:vAlign w:val="center"/>
          </w:tcPr>
          <w:p>
            <w:pPr>
              <w:pStyle w:val="25"/>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956" w:type="dxa"/>
            <w:gridSpan w:val="10"/>
            <w:vAlign w:val="center"/>
          </w:tcPr>
          <w:p>
            <w:pPr>
              <w:pStyle w:val="46"/>
              <w:rPr>
                <w:color w:val="auto"/>
                <w:highlight w:val="none"/>
              </w:rPr>
            </w:pPr>
            <w:r>
              <w:rPr>
                <w:rFonts w:hint="eastAsia"/>
                <w:color w:val="auto"/>
                <w:highlight w:val="none"/>
              </w:rPr>
              <w:t>分项报价合计金额：</w:t>
            </w:r>
            <w:r>
              <w:rPr>
                <w:rFonts w:hint="eastAsia"/>
                <w:color w:val="auto"/>
                <w:highlight w:val="none"/>
                <w:u w:val="single"/>
              </w:rPr>
              <w:t xml:space="preserve">                   </w:t>
            </w:r>
            <w:r>
              <w:rPr>
                <w:rFonts w:hint="eastAsia"/>
                <w:color w:val="auto"/>
                <w:highlight w:val="none"/>
              </w:rPr>
              <w:t>(大写：</w:t>
            </w:r>
            <w:r>
              <w:rPr>
                <w:rFonts w:hint="eastAsia"/>
                <w:color w:val="auto"/>
                <w:highlight w:val="none"/>
                <w:u w:val="single"/>
              </w:rPr>
              <w:t xml:space="preserve">                   </w:t>
            </w:r>
            <w:r>
              <w:rPr>
                <w:rFonts w:hint="eastAsia"/>
                <w:color w:val="auto"/>
                <w:highlight w:val="none"/>
              </w:rPr>
              <w:t>)</w:t>
            </w:r>
          </w:p>
        </w:tc>
      </w:tr>
    </w:tbl>
    <w:p>
      <w:pPr>
        <w:pStyle w:val="50"/>
        <w:bidi w:val="0"/>
        <w:rPr>
          <w:rFonts w:hint="eastAsia"/>
          <w:color w:val="auto"/>
          <w:highlight w:val="none"/>
        </w:rPr>
      </w:pPr>
      <w:r>
        <w:rPr>
          <w:rFonts w:hint="eastAsia"/>
          <w:color w:val="auto"/>
          <w:highlight w:val="none"/>
        </w:rPr>
        <w:t>注：</w:t>
      </w:r>
      <w:r>
        <w:rPr>
          <w:rFonts w:hint="eastAsia"/>
          <w:color w:val="auto"/>
          <w:highlight w:val="none"/>
          <w:lang w:val="en-US" w:eastAsia="zh-CN"/>
        </w:rPr>
        <w:t>①</w:t>
      </w:r>
      <w:r>
        <w:rPr>
          <w:rFonts w:hint="eastAsia"/>
          <w:color w:val="auto"/>
          <w:highlight w:val="none"/>
        </w:rPr>
        <w:t>投标人必须按“分项报价明细表”的格式详细报出投标总价的各个组成部分的报价，否则作无效投标处理。</w:t>
      </w:r>
    </w:p>
    <w:p>
      <w:pPr>
        <w:pStyle w:val="50"/>
        <w:bidi w:val="0"/>
        <w:rPr>
          <w:rFonts w:hint="eastAsia"/>
          <w:color w:val="auto"/>
          <w:highlight w:val="none"/>
        </w:rPr>
      </w:pPr>
      <w:r>
        <w:rPr>
          <w:rFonts w:hint="eastAsia"/>
          <w:color w:val="auto"/>
          <w:highlight w:val="none"/>
          <w:lang w:val="en-US" w:eastAsia="zh-CN"/>
        </w:rPr>
        <w:t>②</w:t>
      </w:r>
      <w:r>
        <w:rPr>
          <w:rFonts w:hint="eastAsia"/>
          <w:color w:val="auto"/>
          <w:highlight w:val="none"/>
        </w:rPr>
        <w:t>“分项报价明细表”各分项报价合计应当与“开标一览表”报价合计相等。</w:t>
      </w:r>
    </w:p>
    <w:p>
      <w:pPr>
        <w:pStyle w:val="50"/>
        <w:bidi w:val="0"/>
        <w:rPr>
          <w:rFonts w:hint="eastAsia"/>
          <w:color w:val="auto"/>
          <w:highlight w:val="none"/>
        </w:rPr>
      </w:pPr>
      <w:r>
        <w:rPr>
          <w:rFonts w:hint="eastAsia"/>
          <w:color w:val="auto"/>
          <w:highlight w:val="none"/>
          <w:lang w:val="en-US" w:eastAsia="zh-CN"/>
        </w:rPr>
        <w:t>③若国外品牌产品在国内(包含海关特殊监管区域)企业生产或加工，不属于进口产品，投标时供应商应注明实际生产或加工地点。</w:t>
      </w:r>
    </w:p>
    <w:p>
      <w:pPr>
        <w:pStyle w:val="25"/>
        <w:bidi w:val="0"/>
        <w:rPr>
          <w:rFonts w:hint="eastAsia"/>
          <w:color w:val="auto"/>
          <w:highlight w:val="none"/>
          <w:lang w:eastAsia="zh-CN"/>
        </w:rPr>
      </w:pPr>
    </w:p>
    <w:p>
      <w:pPr>
        <w:pStyle w:val="25"/>
        <w:bidi w:val="0"/>
        <w:rPr>
          <w:rFonts w:hint="eastAsia"/>
          <w:color w:val="auto"/>
          <w:highlight w:val="none"/>
          <w:lang w:eastAsia="zh-CN"/>
        </w:rPr>
      </w:pPr>
    </w:p>
    <w:p>
      <w:pPr>
        <w:pStyle w:val="25"/>
        <w:bidi w:val="0"/>
        <w:rPr>
          <w:rFonts w:hint="eastAsia"/>
          <w:color w:val="auto"/>
          <w:highlight w:val="none"/>
          <w:lang w:eastAsia="zh-CN"/>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25"/>
        <w:bidi w:val="0"/>
        <w:rPr>
          <w:rFonts w:hint="eastAsia"/>
          <w:color w:val="auto"/>
          <w:highlight w:val="none"/>
        </w:rPr>
      </w:pPr>
    </w:p>
    <w:p>
      <w:pPr>
        <w:pStyle w:val="48"/>
        <w:numPr>
          <w:ilvl w:val="0"/>
          <w:numId w:val="21"/>
        </w:numPr>
        <w:bidi w:val="0"/>
        <w:ind w:left="0" w:leftChars="0" w:firstLine="0" w:firstLineChars="0"/>
        <w:rPr>
          <w:rFonts w:hint="eastAsia"/>
          <w:color w:val="auto"/>
          <w:highlight w:val="none"/>
          <w:lang w:val="en-US" w:eastAsia="zh-CN"/>
        </w:rPr>
      </w:pPr>
      <w:bookmarkStart w:id="910" w:name="_Toc217446087"/>
      <w:bookmarkStart w:id="911" w:name="_Toc7835"/>
      <w:bookmarkStart w:id="912" w:name="_Toc11461"/>
      <w:bookmarkStart w:id="913" w:name="_Toc307564875"/>
      <w:bookmarkStart w:id="914" w:name="_Toc319440166"/>
      <w:bookmarkStart w:id="915" w:name="_Toc25577"/>
      <w:bookmarkStart w:id="916" w:name="_Toc21006"/>
      <w:bookmarkStart w:id="917" w:name="_Toc307501130"/>
      <w:bookmarkStart w:id="918" w:name="_Toc25620"/>
      <w:bookmarkStart w:id="919" w:name="_Toc327196310"/>
      <w:bookmarkStart w:id="920" w:name="_Toc319440168"/>
      <w:bookmarkStart w:id="921" w:name="_Toc26124"/>
      <w:bookmarkStart w:id="922" w:name="_Toc327196312"/>
      <w:bookmarkStart w:id="923" w:name="_Toc24507"/>
      <w:r>
        <w:rPr>
          <w:rFonts w:hint="eastAsia"/>
          <w:color w:val="auto"/>
          <w:highlight w:val="none"/>
          <w:lang w:val="en-US" w:eastAsia="zh-CN"/>
        </w:rPr>
        <w:t>商务应答表</w:t>
      </w:r>
      <w:bookmarkEnd w:id="910"/>
      <w:bookmarkEnd w:id="911"/>
      <w:bookmarkEnd w:id="912"/>
      <w:bookmarkEnd w:id="913"/>
      <w:bookmarkEnd w:id="914"/>
      <w:bookmarkEnd w:id="915"/>
      <w:bookmarkEnd w:id="916"/>
      <w:bookmarkEnd w:id="917"/>
      <w:bookmarkEnd w:id="918"/>
      <w:bookmarkEnd w:id="919"/>
    </w:p>
    <w:p>
      <w:pPr>
        <w:pStyle w:val="25"/>
        <w:bidi w:val="0"/>
        <w:rPr>
          <w:rFonts w:hint="eastAsia"/>
          <w:color w:val="auto"/>
          <w:highlight w:val="none"/>
          <w:u w:val="singl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u w:val="none"/>
        </w:rPr>
        <w:t xml:space="preserve"> </w:t>
      </w:r>
    </w:p>
    <w:p>
      <w:pPr>
        <w:pStyle w:val="25"/>
        <w:bidi w:val="0"/>
        <w:rPr>
          <w:rFonts w:hint="eastAsia"/>
          <w:color w:val="auto"/>
          <w:highlight w:val="none"/>
        </w:rPr>
      </w:pPr>
      <w:r>
        <w:rPr>
          <w:rFonts w:hint="eastAsia"/>
          <w:color w:val="auto"/>
          <w:highlight w:val="none"/>
        </w:rPr>
        <w:t>项目编号：</w:t>
      </w:r>
      <w:r>
        <w:rPr>
          <w:rFonts w:hint="eastAsia"/>
          <w:color w:val="auto"/>
          <w:highlight w:val="none"/>
          <w:u w:val="single"/>
        </w:rPr>
        <w:t xml:space="preserve">                             </w:t>
      </w:r>
    </w:p>
    <w:tbl>
      <w:tblPr>
        <w:tblStyle w:val="18"/>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pStyle w:val="49"/>
              <w:bidi w:val="0"/>
              <w:rPr>
                <w:rFonts w:hint="eastAsia"/>
                <w:b/>
                <w:bCs/>
                <w:color w:val="auto"/>
                <w:highlight w:val="none"/>
              </w:rPr>
            </w:pPr>
            <w:r>
              <w:rPr>
                <w:rFonts w:hint="eastAsia"/>
                <w:b/>
                <w:bCs/>
                <w:color w:val="auto"/>
                <w:highlight w:val="none"/>
              </w:rPr>
              <w:t>序号</w:t>
            </w:r>
          </w:p>
        </w:tc>
        <w:tc>
          <w:tcPr>
            <w:tcW w:w="4061" w:type="dxa"/>
            <w:vAlign w:val="center"/>
          </w:tcPr>
          <w:p>
            <w:pPr>
              <w:pStyle w:val="49"/>
              <w:bidi w:val="0"/>
              <w:rPr>
                <w:rFonts w:hint="eastAsia"/>
                <w:b/>
                <w:bCs/>
                <w:color w:val="auto"/>
                <w:highlight w:val="none"/>
              </w:rPr>
            </w:pPr>
            <w:r>
              <w:rPr>
                <w:rFonts w:hint="eastAsia"/>
                <w:b/>
                <w:bCs/>
                <w:color w:val="auto"/>
                <w:highlight w:val="none"/>
              </w:rPr>
              <w:t>招标</w:t>
            </w:r>
            <w:r>
              <w:rPr>
                <w:rFonts w:hint="eastAsia"/>
                <w:b/>
                <w:bCs/>
                <w:color w:val="auto"/>
                <w:highlight w:val="none"/>
                <w:lang w:val="en-US" w:eastAsia="zh-CN"/>
              </w:rPr>
              <w:t>文件商务</w:t>
            </w:r>
            <w:r>
              <w:rPr>
                <w:rFonts w:hint="eastAsia"/>
                <w:b/>
                <w:bCs/>
                <w:color w:val="auto"/>
                <w:highlight w:val="none"/>
              </w:rPr>
              <w:t>要求</w:t>
            </w:r>
          </w:p>
        </w:tc>
        <w:tc>
          <w:tcPr>
            <w:tcW w:w="3900" w:type="dxa"/>
            <w:vAlign w:val="center"/>
          </w:tcPr>
          <w:p>
            <w:pPr>
              <w:pStyle w:val="49"/>
              <w:bidi w:val="0"/>
              <w:rPr>
                <w:rFonts w:hint="eastAsia"/>
                <w:b/>
                <w:bCs/>
                <w:color w:val="auto"/>
                <w:highlight w:val="none"/>
              </w:rPr>
            </w:pPr>
            <w:r>
              <w:rPr>
                <w:rFonts w:hint="eastAsia"/>
                <w:b/>
                <w:bCs/>
                <w:color w:val="auto"/>
                <w:highlight w:val="none"/>
              </w:rPr>
              <w:t>投标应答</w:t>
            </w:r>
          </w:p>
        </w:tc>
        <w:tc>
          <w:tcPr>
            <w:tcW w:w="1223" w:type="dxa"/>
            <w:vAlign w:val="center"/>
          </w:tcPr>
          <w:p>
            <w:pPr>
              <w:pStyle w:val="49"/>
              <w:bidi w:val="0"/>
              <w:rPr>
                <w:rFonts w:hint="eastAsia" w:eastAsia="宋体"/>
                <w:b/>
                <w:bCs/>
                <w:color w:val="auto"/>
                <w:highlight w:val="none"/>
                <w:lang w:eastAsia="zh-CN"/>
              </w:rPr>
            </w:pPr>
            <w:r>
              <w:rPr>
                <w:rFonts w:hint="eastAsia"/>
                <w:b/>
                <w:bCs/>
                <w:color w:val="auto"/>
                <w:highlight w:val="none"/>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pPr>
              <w:pStyle w:val="49"/>
              <w:bidi w:val="0"/>
              <w:rPr>
                <w:rFonts w:hint="eastAsia"/>
                <w:b/>
                <w:bCs/>
                <w:color w:val="auto"/>
                <w:highlight w:val="none"/>
              </w:rPr>
            </w:pPr>
          </w:p>
        </w:tc>
        <w:tc>
          <w:tcPr>
            <w:tcW w:w="4061" w:type="dxa"/>
            <w:vAlign w:val="top"/>
          </w:tcPr>
          <w:p>
            <w:pPr>
              <w:pStyle w:val="49"/>
              <w:bidi w:val="0"/>
              <w:rPr>
                <w:rFonts w:hint="eastAsia"/>
                <w:b/>
                <w:bCs/>
                <w:color w:val="auto"/>
                <w:highlight w:val="none"/>
              </w:rPr>
            </w:pPr>
          </w:p>
        </w:tc>
        <w:tc>
          <w:tcPr>
            <w:tcW w:w="3900" w:type="dxa"/>
            <w:vAlign w:val="top"/>
          </w:tcPr>
          <w:p>
            <w:pPr>
              <w:pStyle w:val="49"/>
              <w:bidi w:val="0"/>
              <w:rPr>
                <w:rFonts w:hint="eastAsia"/>
                <w:b/>
                <w:bCs/>
                <w:color w:val="auto"/>
                <w:highlight w:val="none"/>
              </w:rPr>
            </w:pPr>
          </w:p>
        </w:tc>
        <w:tc>
          <w:tcPr>
            <w:tcW w:w="122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vAlign w:val="top"/>
          </w:tcPr>
          <w:p>
            <w:pPr>
              <w:pStyle w:val="49"/>
              <w:bidi w:val="0"/>
              <w:rPr>
                <w:rFonts w:hint="eastAsia"/>
                <w:b/>
                <w:bCs/>
                <w:color w:val="auto"/>
                <w:highlight w:val="none"/>
              </w:rPr>
            </w:pPr>
          </w:p>
        </w:tc>
        <w:tc>
          <w:tcPr>
            <w:tcW w:w="4061" w:type="dxa"/>
            <w:vAlign w:val="top"/>
          </w:tcPr>
          <w:p>
            <w:pPr>
              <w:pStyle w:val="49"/>
              <w:bidi w:val="0"/>
              <w:rPr>
                <w:rFonts w:hint="eastAsia"/>
                <w:b/>
                <w:bCs/>
                <w:color w:val="auto"/>
                <w:highlight w:val="none"/>
              </w:rPr>
            </w:pPr>
          </w:p>
        </w:tc>
        <w:tc>
          <w:tcPr>
            <w:tcW w:w="3900" w:type="dxa"/>
            <w:vAlign w:val="top"/>
          </w:tcPr>
          <w:p>
            <w:pPr>
              <w:pStyle w:val="49"/>
              <w:bidi w:val="0"/>
              <w:rPr>
                <w:rFonts w:hint="eastAsia"/>
                <w:b/>
                <w:bCs/>
                <w:color w:val="auto"/>
                <w:highlight w:val="none"/>
              </w:rPr>
            </w:pPr>
          </w:p>
        </w:tc>
        <w:tc>
          <w:tcPr>
            <w:tcW w:w="122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vAlign w:val="top"/>
          </w:tcPr>
          <w:p>
            <w:pPr>
              <w:pStyle w:val="49"/>
              <w:bidi w:val="0"/>
              <w:rPr>
                <w:rFonts w:hint="eastAsia"/>
                <w:b/>
                <w:bCs/>
                <w:color w:val="auto"/>
                <w:highlight w:val="none"/>
              </w:rPr>
            </w:pPr>
          </w:p>
        </w:tc>
        <w:tc>
          <w:tcPr>
            <w:tcW w:w="4061" w:type="dxa"/>
            <w:vAlign w:val="top"/>
          </w:tcPr>
          <w:p>
            <w:pPr>
              <w:pStyle w:val="49"/>
              <w:bidi w:val="0"/>
              <w:rPr>
                <w:rFonts w:hint="eastAsia"/>
                <w:b/>
                <w:bCs/>
                <w:color w:val="auto"/>
                <w:highlight w:val="none"/>
              </w:rPr>
            </w:pPr>
          </w:p>
        </w:tc>
        <w:tc>
          <w:tcPr>
            <w:tcW w:w="3900" w:type="dxa"/>
            <w:vAlign w:val="top"/>
          </w:tcPr>
          <w:p>
            <w:pPr>
              <w:pStyle w:val="49"/>
              <w:bidi w:val="0"/>
              <w:rPr>
                <w:rFonts w:hint="eastAsia"/>
                <w:b/>
                <w:bCs/>
                <w:color w:val="auto"/>
                <w:highlight w:val="none"/>
              </w:rPr>
            </w:pPr>
          </w:p>
        </w:tc>
        <w:tc>
          <w:tcPr>
            <w:tcW w:w="122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vAlign w:val="top"/>
          </w:tcPr>
          <w:p>
            <w:pPr>
              <w:pStyle w:val="49"/>
              <w:bidi w:val="0"/>
              <w:rPr>
                <w:rFonts w:hint="eastAsia"/>
                <w:b/>
                <w:bCs/>
                <w:color w:val="auto"/>
                <w:highlight w:val="none"/>
              </w:rPr>
            </w:pPr>
          </w:p>
        </w:tc>
        <w:tc>
          <w:tcPr>
            <w:tcW w:w="4061" w:type="dxa"/>
            <w:vAlign w:val="top"/>
          </w:tcPr>
          <w:p>
            <w:pPr>
              <w:pStyle w:val="49"/>
              <w:bidi w:val="0"/>
              <w:rPr>
                <w:rFonts w:hint="eastAsia"/>
                <w:b/>
                <w:bCs/>
                <w:color w:val="auto"/>
                <w:highlight w:val="none"/>
              </w:rPr>
            </w:pPr>
          </w:p>
        </w:tc>
        <w:tc>
          <w:tcPr>
            <w:tcW w:w="3900" w:type="dxa"/>
            <w:vAlign w:val="top"/>
          </w:tcPr>
          <w:p>
            <w:pPr>
              <w:pStyle w:val="49"/>
              <w:bidi w:val="0"/>
              <w:rPr>
                <w:rFonts w:hint="eastAsia"/>
                <w:b/>
                <w:bCs/>
                <w:color w:val="auto"/>
                <w:highlight w:val="none"/>
              </w:rPr>
            </w:pPr>
          </w:p>
        </w:tc>
        <w:tc>
          <w:tcPr>
            <w:tcW w:w="1223" w:type="dxa"/>
            <w:vAlign w:val="top"/>
          </w:tcPr>
          <w:p>
            <w:pPr>
              <w:pStyle w:val="49"/>
              <w:bidi w:val="0"/>
              <w:rPr>
                <w:rFonts w:hint="eastAsia"/>
                <w:b/>
                <w:bCs/>
                <w:color w:val="auto"/>
                <w:highlight w:val="none"/>
              </w:rPr>
            </w:pPr>
          </w:p>
        </w:tc>
      </w:tr>
    </w:tbl>
    <w:p>
      <w:pPr>
        <w:pStyle w:val="50"/>
        <w:bidi w:val="0"/>
        <w:rPr>
          <w:rFonts w:hint="default"/>
          <w:color w:val="auto"/>
          <w:highlight w:val="none"/>
          <w:lang w:val="en-US" w:eastAsia="zh-CN"/>
        </w:rPr>
      </w:pPr>
      <w:r>
        <w:rPr>
          <w:rFonts w:hint="eastAsia"/>
          <w:color w:val="auto"/>
          <w:highlight w:val="none"/>
          <w:lang w:eastAsia="zh-CN"/>
        </w:rPr>
        <w:t>注：如与</w:t>
      </w:r>
      <w:r>
        <w:rPr>
          <w:rFonts w:hint="eastAsia"/>
          <w:color w:val="auto"/>
          <w:highlight w:val="none"/>
          <w:lang w:val="en-US" w:eastAsia="zh-CN"/>
        </w:rPr>
        <w:t>招标文件的商务要求</w:t>
      </w:r>
      <w:r>
        <w:rPr>
          <w:rFonts w:hint="eastAsia"/>
          <w:color w:val="auto"/>
          <w:highlight w:val="none"/>
          <w:lang w:eastAsia="zh-CN"/>
        </w:rPr>
        <w:t>有偏离(包括正偏离和负偏离)，请将偏离条款逐条应答。如与</w:t>
      </w:r>
      <w:r>
        <w:rPr>
          <w:rFonts w:hint="eastAsia"/>
          <w:color w:val="auto"/>
          <w:highlight w:val="none"/>
          <w:lang w:val="en-US" w:eastAsia="zh-CN"/>
        </w:rPr>
        <w:t>招标文件商务要求的所有</w:t>
      </w:r>
      <w:r>
        <w:rPr>
          <w:rFonts w:hint="eastAsia"/>
          <w:color w:val="auto"/>
          <w:highlight w:val="none"/>
          <w:lang w:eastAsia="zh-CN"/>
        </w:rPr>
        <w:t>条款无偏离，则无须在此表中应答，视为默认完全响应和接受</w:t>
      </w:r>
      <w:r>
        <w:rPr>
          <w:rFonts w:hint="eastAsia"/>
          <w:color w:val="auto"/>
          <w:highlight w:val="none"/>
          <w:lang w:val="en-US" w:eastAsia="zh-CN"/>
        </w:rPr>
        <w:t>招标文件所有商务要求</w:t>
      </w:r>
      <w:r>
        <w:rPr>
          <w:rFonts w:hint="eastAsia"/>
          <w:color w:val="auto"/>
          <w:highlight w:val="none"/>
          <w:lang w:eastAsia="zh-CN"/>
        </w:rPr>
        <w:t>，供应商不得以未作应答而拒不接受。供应商必须据实填写，不得虚假应答，否则将取消其</w:t>
      </w:r>
      <w:r>
        <w:rPr>
          <w:rFonts w:hint="eastAsia"/>
          <w:color w:val="auto"/>
          <w:highlight w:val="none"/>
          <w:lang w:val="en-US" w:eastAsia="zh-CN"/>
        </w:rPr>
        <w:t>中标</w:t>
      </w:r>
      <w:r>
        <w:rPr>
          <w:rFonts w:hint="eastAsia"/>
          <w:color w:val="auto"/>
          <w:highlight w:val="none"/>
          <w:lang w:eastAsia="zh-CN"/>
        </w:rPr>
        <w:t>资格。</w:t>
      </w:r>
      <w:r>
        <w:rPr>
          <w:rFonts w:hint="eastAsia"/>
          <w:color w:val="auto"/>
          <w:highlight w:val="none"/>
          <w:lang w:val="en-US" w:eastAsia="zh-CN"/>
        </w:rPr>
        <w:t>商务要求中要求提供的承诺函应单独响应。</w:t>
      </w:r>
    </w:p>
    <w:p>
      <w:pPr>
        <w:pStyle w:val="25"/>
        <w:bidi w:val="0"/>
        <w:rPr>
          <w:rFonts w:hint="default"/>
          <w:color w:val="auto"/>
          <w:highlight w:val="none"/>
          <w:lang w:val="en-US" w:eastAsia="zh-CN"/>
        </w:rPr>
      </w:pPr>
    </w:p>
    <w:p>
      <w:pPr>
        <w:pStyle w:val="25"/>
        <w:bidi w:val="0"/>
        <w:rPr>
          <w:rFonts w:hint="eastAsia"/>
          <w:color w:val="auto"/>
          <w:highlight w:val="none"/>
          <w:lang w:eastAsia="zh-CN"/>
        </w:rPr>
      </w:pPr>
    </w:p>
    <w:p>
      <w:pPr>
        <w:pStyle w:val="29"/>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rPr>
      </w:pPr>
      <w:r>
        <w:rPr>
          <w:rFonts w:hint="eastAsia"/>
          <w:color w:val="auto"/>
          <w:highlight w:val="none"/>
        </w:rPr>
        <w:t>投标日期</w:t>
      </w:r>
      <w:r>
        <w:rPr>
          <w:rFonts w:hint="eastAsia"/>
          <w:color w:val="auto"/>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t xml:space="preserve">          </w:t>
      </w:r>
      <w:r>
        <w:rPr>
          <w:rFonts w:hint="eastAsia"/>
          <w:color w:val="auto"/>
          <w:highlight w:val="none"/>
        </w:rPr>
        <w:t xml:space="preserve">   </w:t>
      </w:r>
    </w:p>
    <w:p>
      <w:pPr>
        <w:pStyle w:val="25"/>
        <w:bidi w:val="0"/>
        <w:rPr>
          <w:rFonts w:hint="eastAsia"/>
          <w:color w:val="auto"/>
          <w:highlight w:val="none"/>
          <w:lang w:val="en-US" w:eastAsia="zh-CN"/>
        </w:rPr>
      </w:pPr>
      <w:r>
        <w:rPr>
          <w:rFonts w:hint="eastAsia"/>
          <w:color w:val="auto"/>
          <w:highlight w:val="none"/>
          <w:lang w:val="en-US" w:eastAsia="zh-CN"/>
        </w:rPr>
        <w:br w:type="page"/>
      </w:r>
    </w:p>
    <w:bookmarkEnd w:id="920"/>
    <w:bookmarkEnd w:id="921"/>
    <w:bookmarkEnd w:id="922"/>
    <w:p>
      <w:pPr>
        <w:pStyle w:val="48"/>
        <w:numPr>
          <w:ilvl w:val="0"/>
          <w:numId w:val="21"/>
        </w:numPr>
        <w:bidi w:val="0"/>
        <w:ind w:left="0" w:leftChars="0" w:firstLine="0" w:firstLineChars="0"/>
        <w:rPr>
          <w:rFonts w:hint="eastAsia"/>
          <w:color w:val="auto"/>
          <w:highlight w:val="none"/>
          <w:lang w:val="en-US" w:eastAsia="zh-CN"/>
        </w:rPr>
      </w:pPr>
      <w:bookmarkStart w:id="924" w:name="_Toc23376"/>
      <w:bookmarkStart w:id="925" w:name="_Toc3995"/>
      <w:bookmarkStart w:id="926" w:name="_Toc22547"/>
      <w:bookmarkStart w:id="927" w:name="_Toc25122"/>
      <w:bookmarkStart w:id="928" w:name="_Toc26522"/>
      <w:bookmarkStart w:id="929" w:name="_Toc23430"/>
      <w:r>
        <w:rPr>
          <w:rFonts w:hint="eastAsia"/>
          <w:color w:val="auto"/>
          <w:highlight w:val="none"/>
          <w:lang w:val="en-US" w:eastAsia="zh-CN"/>
        </w:rPr>
        <w:t>投标产品技术参数应答表</w:t>
      </w:r>
      <w:bookmarkEnd w:id="924"/>
      <w:bookmarkEnd w:id="925"/>
      <w:bookmarkEnd w:id="926"/>
      <w:bookmarkEnd w:id="927"/>
    </w:p>
    <w:p>
      <w:pPr>
        <w:pStyle w:val="25"/>
        <w:bidi w:val="0"/>
        <w:rPr>
          <w:rFonts w:hint="eastAsia"/>
          <w:b w:val="0"/>
          <w:bCs w:val="0"/>
          <w:color w:val="auto"/>
          <w:highlight w:val="none"/>
        </w:rPr>
      </w:pPr>
      <w:r>
        <w:rPr>
          <w:rFonts w:hint="eastAsia"/>
          <w:b w:val="0"/>
          <w:bCs w:val="0"/>
          <w:color w:val="auto"/>
          <w:highlight w:val="none"/>
        </w:rPr>
        <w:t>项目名称：</w:t>
      </w:r>
      <w:r>
        <w:rPr>
          <w:rFonts w:hint="eastAsia"/>
          <w:b w:val="0"/>
          <w:bCs w:val="0"/>
          <w:color w:val="auto"/>
          <w:highlight w:val="none"/>
          <w:u w:val="single"/>
        </w:rPr>
        <w:t xml:space="preserve">                        </w:t>
      </w:r>
      <w:r>
        <w:rPr>
          <w:rFonts w:hint="eastAsia"/>
          <w:b w:val="0"/>
          <w:bCs w:val="0"/>
          <w:color w:val="auto"/>
          <w:highlight w:val="none"/>
        </w:rPr>
        <w:t xml:space="preserve">      </w:t>
      </w:r>
    </w:p>
    <w:p>
      <w:pPr>
        <w:pStyle w:val="25"/>
        <w:bidi w:val="0"/>
        <w:rPr>
          <w:rFonts w:hint="eastAsia"/>
          <w:b w:val="0"/>
          <w:bCs w:val="0"/>
          <w:color w:val="auto"/>
          <w:highlight w:val="none"/>
          <w:u w:val="single"/>
        </w:rPr>
      </w:pPr>
      <w:r>
        <w:rPr>
          <w:rFonts w:hint="eastAsia"/>
          <w:b w:val="0"/>
          <w:bCs w:val="0"/>
          <w:color w:val="auto"/>
          <w:highlight w:val="none"/>
        </w:rPr>
        <w:t>项目编号：</w:t>
      </w:r>
      <w:r>
        <w:rPr>
          <w:rFonts w:hint="eastAsia"/>
          <w:b w:val="0"/>
          <w:bCs w:val="0"/>
          <w:color w:val="auto"/>
          <w:highlight w:val="none"/>
          <w:u w:val="single"/>
        </w:rPr>
        <w:t xml:space="preserve">                        </w:t>
      </w:r>
    </w:p>
    <w:tbl>
      <w:tblPr>
        <w:tblStyle w:val="1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76"/>
        <w:gridCol w:w="2681"/>
        <w:gridCol w:w="274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center"/>
          </w:tcPr>
          <w:p>
            <w:pPr>
              <w:pStyle w:val="49"/>
              <w:bidi w:val="0"/>
              <w:rPr>
                <w:rFonts w:hint="eastAsia"/>
                <w:b/>
                <w:bCs/>
                <w:color w:val="auto"/>
                <w:highlight w:val="none"/>
              </w:rPr>
            </w:pPr>
            <w:r>
              <w:rPr>
                <w:rFonts w:hint="eastAsia"/>
                <w:b/>
                <w:bCs/>
                <w:color w:val="auto"/>
                <w:highlight w:val="none"/>
              </w:rPr>
              <w:t>序号</w:t>
            </w:r>
          </w:p>
        </w:tc>
        <w:tc>
          <w:tcPr>
            <w:tcW w:w="2176" w:type="dxa"/>
            <w:vAlign w:val="center"/>
          </w:tcPr>
          <w:p>
            <w:pPr>
              <w:pStyle w:val="49"/>
              <w:bidi w:val="0"/>
              <w:rPr>
                <w:rFonts w:hint="eastAsia"/>
                <w:b/>
                <w:bCs/>
                <w:color w:val="auto"/>
                <w:highlight w:val="none"/>
              </w:rPr>
            </w:pPr>
            <w:r>
              <w:rPr>
                <w:rFonts w:hint="eastAsia"/>
                <w:b/>
                <w:bCs/>
                <w:color w:val="auto"/>
                <w:highlight w:val="none"/>
              </w:rPr>
              <w:t>设备名称</w:t>
            </w:r>
          </w:p>
        </w:tc>
        <w:tc>
          <w:tcPr>
            <w:tcW w:w="2681" w:type="dxa"/>
            <w:vAlign w:val="center"/>
          </w:tcPr>
          <w:p>
            <w:pPr>
              <w:pStyle w:val="49"/>
              <w:bidi w:val="0"/>
              <w:rPr>
                <w:rFonts w:hint="eastAsia"/>
                <w:b/>
                <w:bCs/>
                <w:color w:val="auto"/>
                <w:highlight w:val="none"/>
              </w:rPr>
            </w:pPr>
            <w:r>
              <w:rPr>
                <w:rFonts w:hint="eastAsia"/>
                <w:b/>
                <w:bCs/>
                <w:color w:val="auto"/>
                <w:highlight w:val="none"/>
              </w:rPr>
              <w:t>招标文件</w:t>
            </w:r>
            <w:bookmarkStart w:id="930" w:name="_Toc28744"/>
            <w:r>
              <w:rPr>
                <w:rFonts w:hint="eastAsia"/>
                <w:b/>
                <w:bCs/>
                <w:color w:val="auto"/>
                <w:highlight w:val="none"/>
                <w:lang w:val="en-US" w:eastAsia="zh-CN"/>
              </w:rPr>
              <w:t>技术参数及功能要求</w:t>
            </w:r>
            <w:bookmarkEnd w:id="930"/>
          </w:p>
        </w:tc>
        <w:tc>
          <w:tcPr>
            <w:tcW w:w="2745" w:type="dxa"/>
            <w:vAlign w:val="center"/>
          </w:tcPr>
          <w:p>
            <w:pPr>
              <w:pStyle w:val="49"/>
              <w:bidi w:val="0"/>
              <w:rPr>
                <w:rFonts w:hint="eastAsia"/>
                <w:b/>
                <w:bCs/>
                <w:color w:val="auto"/>
                <w:highlight w:val="none"/>
              </w:rPr>
            </w:pPr>
            <w:r>
              <w:rPr>
                <w:rFonts w:hint="eastAsia"/>
                <w:b/>
                <w:bCs/>
                <w:color w:val="auto"/>
                <w:highlight w:val="none"/>
              </w:rPr>
              <w:t>投标产品技术参数</w:t>
            </w:r>
          </w:p>
        </w:tc>
        <w:tc>
          <w:tcPr>
            <w:tcW w:w="1493" w:type="dxa"/>
            <w:vAlign w:val="center"/>
          </w:tcPr>
          <w:p>
            <w:pPr>
              <w:pStyle w:val="49"/>
              <w:bidi w:val="0"/>
              <w:rPr>
                <w:rFonts w:hint="eastAsia"/>
                <w:b/>
                <w:bCs/>
                <w:color w:val="auto"/>
                <w:highlight w:val="none"/>
                <w:lang w:val="en-US" w:eastAsia="zh-CN"/>
              </w:rPr>
            </w:pPr>
            <w:r>
              <w:rPr>
                <w:rFonts w:hint="eastAsia"/>
                <w:b/>
                <w:bCs/>
                <w:color w:val="auto"/>
                <w:highlight w:val="no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9"/>
              <w:bidi w:val="0"/>
              <w:rPr>
                <w:rFonts w:hint="eastAsia"/>
                <w:b/>
                <w:bCs/>
                <w:color w:val="auto"/>
                <w:highlight w:val="none"/>
              </w:rPr>
            </w:pPr>
          </w:p>
        </w:tc>
        <w:tc>
          <w:tcPr>
            <w:tcW w:w="2176" w:type="dxa"/>
            <w:vAlign w:val="top"/>
          </w:tcPr>
          <w:p>
            <w:pPr>
              <w:pStyle w:val="49"/>
              <w:bidi w:val="0"/>
              <w:rPr>
                <w:rFonts w:hint="eastAsia"/>
                <w:b/>
                <w:bCs/>
                <w:color w:val="auto"/>
                <w:highlight w:val="none"/>
              </w:rPr>
            </w:pPr>
          </w:p>
        </w:tc>
        <w:tc>
          <w:tcPr>
            <w:tcW w:w="2681" w:type="dxa"/>
            <w:vAlign w:val="top"/>
          </w:tcPr>
          <w:p>
            <w:pPr>
              <w:pStyle w:val="49"/>
              <w:bidi w:val="0"/>
              <w:rPr>
                <w:rFonts w:hint="eastAsia"/>
                <w:b/>
                <w:bCs/>
                <w:color w:val="auto"/>
                <w:highlight w:val="none"/>
              </w:rPr>
            </w:pPr>
          </w:p>
        </w:tc>
        <w:tc>
          <w:tcPr>
            <w:tcW w:w="2745" w:type="dxa"/>
            <w:vAlign w:val="top"/>
          </w:tcPr>
          <w:p>
            <w:pPr>
              <w:pStyle w:val="49"/>
              <w:bidi w:val="0"/>
              <w:rPr>
                <w:rFonts w:hint="eastAsia"/>
                <w:b/>
                <w:bCs/>
                <w:color w:val="auto"/>
                <w:highlight w:val="none"/>
              </w:rPr>
            </w:pPr>
          </w:p>
        </w:tc>
        <w:tc>
          <w:tcPr>
            <w:tcW w:w="149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9"/>
              <w:bidi w:val="0"/>
              <w:rPr>
                <w:rFonts w:hint="eastAsia"/>
                <w:b/>
                <w:bCs/>
                <w:color w:val="auto"/>
                <w:highlight w:val="none"/>
              </w:rPr>
            </w:pPr>
          </w:p>
        </w:tc>
        <w:tc>
          <w:tcPr>
            <w:tcW w:w="2176" w:type="dxa"/>
            <w:vAlign w:val="top"/>
          </w:tcPr>
          <w:p>
            <w:pPr>
              <w:pStyle w:val="49"/>
              <w:bidi w:val="0"/>
              <w:rPr>
                <w:rFonts w:hint="eastAsia"/>
                <w:b/>
                <w:bCs/>
                <w:color w:val="auto"/>
                <w:highlight w:val="none"/>
              </w:rPr>
            </w:pPr>
          </w:p>
        </w:tc>
        <w:tc>
          <w:tcPr>
            <w:tcW w:w="2681" w:type="dxa"/>
            <w:vAlign w:val="top"/>
          </w:tcPr>
          <w:p>
            <w:pPr>
              <w:pStyle w:val="49"/>
              <w:bidi w:val="0"/>
              <w:rPr>
                <w:rFonts w:hint="eastAsia"/>
                <w:b/>
                <w:bCs/>
                <w:color w:val="auto"/>
                <w:highlight w:val="none"/>
              </w:rPr>
            </w:pPr>
          </w:p>
        </w:tc>
        <w:tc>
          <w:tcPr>
            <w:tcW w:w="2745" w:type="dxa"/>
            <w:vAlign w:val="top"/>
          </w:tcPr>
          <w:p>
            <w:pPr>
              <w:pStyle w:val="49"/>
              <w:bidi w:val="0"/>
              <w:rPr>
                <w:rFonts w:hint="eastAsia"/>
                <w:b/>
                <w:bCs/>
                <w:color w:val="auto"/>
                <w:highlight w:val="none"/>
              </w:rPr>
            </w:pPr>
          </w:p>
        </w:tc>
        <w:tc>
          <w:tcPr>
            <w:tcW w:w="149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9"/>
              <w:bidi w:val="0"/>
              <w:rPr>
                <w:rFonts w:hint="eastAsia"/>
                <w:b/>
                <w:bCs/>
                <w:color w:val="auto"/>
                <w:highlight w:val="none"/>
              </w:rPr>
            </w:pPr>
          </w:p>
        </w:tc>
        <w:tc>
          <w:tcPr>
            <w:tcW w:w="2176" w:type="dxa"/>
            <w:vAlign w:val="top"/>
          </w:tcPr>
          <w:p>
            <w:pPr>
              <w:pStyle w:val="49"/>
              <w:bidi w:val="0"/>
              <w:rPr>
                <w:rFonts w:hint="eastAsia"/>
                <w:b/>
                <w:bCs/>
                <w:color w:val="auto"/>
                <w:highlight w:val="none"/>
              </w:rPr>
            </w:pPr>
          </w:p>
        </w:tc>
        <w:tc>
          <w:tcPr>
            <w:tcW w:w="2681" w:type="dxa"/>
            <w:vAlign w:val="top"/>
          </w:tcPr>
          <w:p>
            <w:pPr>
              <w:pStyle w:val="49"/>
              <w:bidi w:val="0"/>
              <w:rPr>
                <w:rFonts w:hint="eastAsia"/>
                <w:b/>
                <w:bCs/>
                <w:color w:val="auto"/>
                <w:highlight w:val="none"/>
              </w:rPr>
            </w:pPr>
          </w:p>
        </w:tc>
        <w:tc>
          <w:tcPr>
            <w:tcW w:w="2745" w:type="dxa"/>
            <w:vAlign w:val="top"/>
          </w:tcPr>
          <w:p>
            <w:pPr>
              <w:pStyle w:val="49"/>
              <w:bidi w:val="0"/>
              <w:rPr>
                <w:rFonts w:hint="eastAsia"/>
                <w:b/>
                <w:bCs/>
                <w:color w:val="auto"/>
                <w:highlight w:val="none"/>
              </w:rPr>
            </w:pPr>
          </w:p>
        </w:tc>
        <w:tc>
          <w:tcPr>
            <w:tcW w:w="1493" w:type="dxa"/>
            <w:vAlign w:val="top"/>
          </w:tcPr>
          <w:p>
            <w:pPr>
              <w:pStyle w:val="49"/>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pPr>
              <w:pStyle w:val="49"/>
              <w:bidi w:val="0"/>
              <w:rPr>
                <w:rFonts w:hint="eastAsia"/>
                <w:b/>
                <w:bCs/>
                <w:color w:val="auto"/>
                <w:highlight w:val="none"/>
              </w:rPr>
            </w:pPr>
          </w:p>
        </w:tc>
        <w:tc>
          <w:tcPr>
            <w:tcW w:w="2176" w:type="dxa"/>
            <w:vAlign w:val="top"/>
          </w:tcPr>
          <w:p>
            <w:pPr>
              <w:pStyle w:val="49"/>
              <w:bidi w:val="0"/>
              <w:rPr>
                <w:rFonts w:hint="eastAsia"/>
                <w:b/>
                <w:bCs/>
                <w:color w:val="auto"/>
                <w:highlight w:val="none"/>
              </w:rPr>
            </w:pPr>
          </w:p>
        </w:tc>
        <w:tc>
          <w:tcPr>
            <w:tcW w:w="2681" w:type="dxa"/>
            <w:vAlign w:val="top"/>
          </w:tcPr>
          <w:p>
            <w:pPr>
              <w:pStyle w:val="49"/>
              <w:bidi w:val="0"/>
              <w:rPr>
                <w:rFonts w:hint="eastAsia"/>
                <w:b/>
                <w:bCs/>
                <w:color w:val="auto"/>
                <w:highlight w:val="none"/>
              </w:rPr>
            </w:pPr>
          </w:p>
        </w:tc>
        <w:tc>
          <w:tcPr>
            <w:tcW w:w="2745" w:type="dxa"/>
            <w:vAlign w:val="top"/>
          </w:tcPr>
          <w:p>
            <w:pPr>
              <w:pStyle w:val="49"/>
              <w:bidi w:val="0"/>
              <w:rPr>
                <w:rFonts w:hint="eastAsia"/>
                <w:b/>
                <w:bCs/>
                <w:color w:val="auto"/>
                <w:highlight w:val="none"/>
              </w:rPr>
            </w:pPr>
          </w:p>
        </w:tc>
        <w:tc>
          <w:tcPr>
            <w:tcW w:w="1493" w:type="dxa"/>
            <w:vAlign w:val="top"/>
          </w:tcPr>
          <w:p>
            <w:pPr>
              <w:pStyle w:val="49"/>
              <w:bidi w:val="0"/>
              <w:rPr>
                <w:rFonts w:hint="eastAsia"/>
                <w:b/>
                <w:bCs/>
                <w:color w:val="auto"/>
                <w:highlight w:val="none"/>
              </w:rPr>
            </w:pPr>
          </w:p>
        </w:tc>
      </w:tr>
    </w:tbl>
    <w:p>
      <w:pPr>
        <w:pStyle w:val="50"/>
        <w:bidi w:val="0"/>
        <w:rPr>
          <w:rFonts w:hint="eastAsia"/>
          <w:color w:val="auto"/>
          <w:highlight w:val="none"/>
          <w:lang w:eastAsia="zh-CN"/>
        </w:rPr>
      </w:pPr>
      <w:r>
        <w:rPr>
          <w:rFonts w:hint="eastAsia"/>
          <w:color w:val="auto"/>
          <w:highlight w:val="none"/>
        </w:rPr>
        <w:t>注：</w:t>
      </w:r>
      <w:r>
        <w:rPr>
          <w:rFonts w:hint="eastAsia"/>
          <w:color w:val="auto"/>
          <w:highlight w:val="none"/>
          <w:lang w:eastAsia="zh-CN"/>
        </w:rPr>
        <w:t>如与</w:t>
      </w:r>
      <w:r>
        <w:rPr>
          <w:rFonts w:hint="eastAsia"/>
          <w:color w:val="auto"/>
          <w:highlight w:val="none"/>
          <w:lang w:val="en-US" w:eastAsia="zh-CN"/>
        </w:rPr>
        <w:t>招标文件第六章技术参数及功能要求的内容</w:t>
      </w:r>
      <w:r>
        <w:rPr>
          <w:rFonts w:hint="eastAsia"/>
          <w:color w:val="auto"/>
          <w:highlight w:val="none"/>
          <w:lang w:eastAsia="zh-CN"/>
        </w:rPr>
        <w:t>有偏离(包括正偏离和负偏离)，请将偏离条款逐条应答。如与</w:t>
      </w:r>
      <w:r>
        <w:rPr>
          <w:rFonts w:hint="eastAsia"/>
          <w:color w:val="auto"/>
          <w:highlight w:val="none"/>
          <w:lang w:val="en-US" w:eastAsia="zh-CN"/>
        </w:rPr>
        <w:t>招标文件第六章技术参数及功能要求的所有</w:t>
      </w:r>
      <w:r>
        <w:rPr>
          <w:rFonts w:hint="eastAsia"/>
          <w:color w:val="auto"/>
          <w:highlight w:val="none"/>
          <w:lang w:eastAsia="zh-CN"/>
        </w:rPr>
        <w:t>条款无偏离，则无须在此表中应答，视为默认完全响应和接受</w:t>
      </w:r>
      <w:r>
        <w:rPr>
          <w:rFonts w:hint="eastAsia"/>
          <w:color w:val="auto"/>
          <w:highlight w:val="none"/>
          <w:lang w:val="en-US" w:eastAsia="zh-CN"/>
        </w:rPr>
        <w:t>招标文件第六章技术参数及功能要求所有</w:t>
      </w:r>
      <w:r>
        <w:rPr>
          <w:rFonts w:hint="eastAsia"/>
          <w:color w:val="auto"/>
          <w:highlight w:val="none"/>
          <w:lang w:eastAsia="zh-CN"/>
        </w:rPr>
        <w:t>的内容，供应商不得以未作应答而拒不接受。供应商必须据实填写，不得虚假应答，否则将取消其</w:t>
      </w:r>
      <w:r>
        <w:rPr>
          <w:rFonts w:hint="eastAsia"/>
          <w:color w:val="auto"/>
          <w:highlight w:val="none"/>
          <w:lang w:val="en-US" w:eastAsia="zh-CN"/>
        </w:rPr>
        <w:t>中标</w:t>
      </w:r>
      <w:r>
        <w:rPr>
          <w:rFonts w:hint="eastAsia"/>
          <w:color w:val="auto"/>
          <w:highlight w:val="none"/>
          <w:lang w:eastAsia="zh-CN"/>
        </w:rPr>
        <w:t>资格。</w:t>
      </w:r>
      <w:r>
        <w:rPr>
          <w:rFonts w:hint="eastAsia"/>
          <w:color w:val="auto"/>
          <w:highlight w:val="none"/>
          <w:lang w:val="en-US" w:eastAsia="zh-CN"/>
        </w:rPr>
        <w:t>商务要求中要求提供的承诺函应单独响应。</w:t>
      </w: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rPr>
      </w:pPr>
      <w:r>
        <w:rPr>
          <w:rFonts w:hint="eastAsia"/>
          <w:color w:val="auto"/>
          <w:highlight w:val="none"/>
        </w:rPr>
        <w:t>投标日期</w:t>
      </w:r>
      <w:r>
        <w:rPr>
          <w:rFonts w:hint="eastAsia"/>
          <w:color w:val="auto"/>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25"/>
        <w:bidi w:val="0"/>
        <w:rPr>
          <w:rFonts w:hint="eastAsia"/>
          <w:color w:val="auto"/>
          <w:highlight w:val="none"/>
          <w:lang w:val="en-US" w:eastAsia="zh-CN"/>
        </w:rPr>
      </w:pPr>
      <w:r>
        <w:rPr>
          <w:rFonts w:hint="eastAsia"/>
          <w:color w:val="auto"/>
          <w:highlight w:val="none"/>
          <w:lang w:val="en-US" w:eastAsia="zh-CN"/>
        </w:rPr>
        <w:br w:type="page"/>
      </w:r>
    </w:p>
    <w:bookmarkEnd w:id="928"/>
    <w:bookmarkEnd w:id="929"/>
    <w:p>
      <w:pPr>
        <w:pStyle w:val="48"/>
        <w:numPr>
          <w:ilvl w:val="0"/>
          <w:numId w:val="21"/>
        </w:numPr>
        <w:bidi w:val="0"/>
        <w:ind w:left="0" w:leftChars="0" w:firstLine="0" w:firstLineChars="0"/>
        <w:rPr>
          <w:rFonts w:hint="eastAsia"/>
          <w:color w:val="auto"/>
          <w:highlight w:val="none"/>
          <w:lang w:val="en-US" w:eastAsia="zh-CN"/>
        </w:rPr>
      </w:pPr>
      <w:bookmarkStart w:id="931" w:name="_Toc28854"/>
      <w:bookmarkStart w:id="932" w:name="_Toc28539"/>
      <w:r>
        <w:rPr>
          <w:rFonts w:hint="eastAsia"/>
          <w:color w:val="auto"/>
          <w:highlight w:val="none"/>
          <w:lang w:val="en-US" w:eastAsia="zh-CN"/>
        </w:rPr>
        <w:t>履约能力及相关证明</w:t>
      </w:r>
      <w:bookmarkEnd w:id="931"/>
      <w:bookmarkEnd w:id="932"/>
    </w:p>
    <w:p>
      <w:pPr>
        <w:pStyle w:val="50"/>
        <w:bidi w:val="0"/>
        <w:rPr>
          <w:rFonts w:hint="eastAsia"/>
          <w:color w:val="auto"/>
          <w:highlight w:val="none"/>
        </w:rPr>
      </w:pPr>
      <w:r>
        <w:rPr>
          <w:rFonts w:hint="eastAsia"/>
          <w:color w:val="auto"/>
          <w:highlight w:val="none"/>
        </w:rPr>
        <w:t>注：</w:t>
      </w:r>
      <w:r>
        <w:rPr>
          <w:rFonts w:hint="eastAsia"/>
          <w:color w:val="auto"/>
          <w:highlight w:val="none"/>
          <w:lang w:val="en-US" w:eastAsia="zh-CN"/>
        </w:rPr>
        <w:t>格式自拟。</w:t>
      </w: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rPr>
      </w:pPr>
    </w:p>
    <w:p>
      <w:pPr>
        <w:pStyle w:val="25"/>
        <w:bidi w:val="0"/>
        <w:rPr>
          <w:rFonts w:hint="eastAsia"/>
          <w:color w:val="auto"/>
          <w:highlight w:val="none"/>
          <w:lang w:val="en-US" w:eastAsia="zh-CN"/>
        </w:rPr>
      </w:pPr>
      <w:r>
        <w:rPr>
          <w:rFonts w:hint="eastAsia"/>
          <w:color w:val="auto"/>
          <w:highlight w:val="none"/>
          <w:lang w:val="en-US" w:eastAsia="zh-CN"/>
        </w:rPr>
        <w:br w:type="page"/>
      </w:r>
    </w:p>
    <w:bookmarkEnd w:id="923"/>
    <w:p>
      <w:pPr>
        <w:pStyle w:val="48"/>
        <w:numPr>
          <w:ilvl w:val="0"/>
          <w:numId w:val="21"/>
        </w:numPr>
        <w:bidi w:val="0"/>
        <w:ind w:left="0" w:leftChars="0" w:firstLine="0" w:firstLineChars="0"/>
        <w:rPr>
          <w:rFonts w:hint="eastAsia"/>
          <w:color w:val="auto"/>
          <w:highlight w:val="none"/>
          <w:lang w:val="en-US" w:eastAsia="zh-CN"/>
        </w:rPr>
      </w:pPr>
      <w:bookmarkStart w:id="933" w:name="_Toc13361"/>
      <w:bookmarkStart w:id="934" w:name="_Toc5916"/>
      <w:bookmarkStart w:id="935" w:name="_Toc19240"/>
      <w:r>
        <w:rPr>
          <w:rFonts w:hint="eastAsia"/>
          <w:color w:val="auto"/>
          <w:highlight w:val="none"/>
          <w:lang w:val="en-US" w:eastAsia="zh-CN"/>
        </w:rPr>
        <w:t>投标人针对本项目人员配置情况表</w:t>
      </w:r>
      <w:bookmarkEnd w:id="933"/>
      <w:bookmarkEnd w:id="934"/>
    </w:p>
    <w:p>
      <w:pPr>
        <w:pStyle w:val="25"/>
        <w:bidi w:val="0"/>
        <w:rPr>
          <w:rFonts w:hint="eastAsia"/>
          <w:color w:val="auto"/>
          <w:highlight w:val="none"/>
        </w:rPr>
      </w:pPr>
      <w:r>
        <w:rPr>
          <w:rFonts w:hint="eastAsia"/>
          <w:color w:val="auto"/>
          <w:highlight w:val="none"/>
        </w:rPr>
        <w:t>项目名称：</w:t>
      </w:r>
      <w:r>
        <w:rPr>
          <w:rFonts w:hint="eastAsia"/>
          <w:color w:val="auto"/>
          <w:highlight w:val="none"/>
          <w:u w:val="single"/>
        </w:rPr>
        <w:t xml:space="preserve">                              </w:t>
      </w:r>
    </w:p>
    <w:p>
      <w:pPr>
        <w:pStyle w:val="25"/>
        <w:bidi w:val="0"/>
        <w:rPr>
          <w:rFonts w:hint="eastAsia"/>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18"/>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923"/>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restart"/>
            <w:vAlign w:val="center"/>
          </w:tcPr>
          <w:p>
            <w:pPr>
              <w:pStyle w:val="49"/>
              <w:bidi w:val="0"/>
              <w:rPr>
                <w:rFonts w:hint="eastAsia"/>
                <w:b/>
                <w:bCs/>
                <w:color w:val="auto"/>
                <w:highlight w:val="none"/>
              </w:rPr>
            </w:pPr>
            <w:r>
              <w:rPr>
                <w:rFonts w:hint="eastAsia"/>
                <w:b/>
                <w:bCs/>
                <w:color w:val="auto"/>
                <w:highlight w:val="none"/>
              </w:rPr>
              <w:t>类别</w:t>
            </w:r>
          </w:p>
        </w:tc>
        <w:tc>
          <w:tcPr>
            <w:tcW w:w="923" w:type="dxa"/>
            <w:vMerge w:val="restart"/>
            <w:vAlign w:val="center"/>
          </w:tcPr>
          <w:p>
            <w:pPr>
              <w:pStyle w:val="49"/>
              <w:bidi w:val="0"/>
              <w:rPr>
                <w:rFonts w:hint="default" w:eastAsia="宋体"/>
                <w:b/>
                <w:bCs/>
                <w:color w:val="auto"/>
                <w:highlight w:val="none"/>
                <w:lang w:val="en-US" w:eastAsia="zh-CN"/>
              </w:rPr>
            </w:pPr>
            <w:r>
              <w:rPr>
                <w:rFonts w:hint="eastAsia"/>
                <w:b/>
                <w:bCs/>
                <w:color w:val="auto"/>
                <w:highlight w:val="none"/>
              </w:rPr>
              <w:t>职务</w:t>
            </w:r>
            <w:r>
              <w:rPr>
                <w:rFonts w:hint="eastAsia"/>
                <w:b/>
                <w:bCs/>
                <w:color w:val="auto"/>
                <w:highlight w:val="none"/>
                <w:lang w:val="en-US" w:eastAsia="zh-CN"/>
              </w:rPr>
              <w:t>(岗位)</w:t>
            </w:r>
          </w:p>
        </w:tc>
        <w:tc>
          <w:tcPr>
            <w:tcW w:w="921" w:type="dxa"/>
            <w:vMerge w:val="restart"/>
            <w:vAlign w:val="center"/>
          </w:tcPr>
          <w:p>
            <w:pPr>
              <w:pStyle w:val="49"/>
              <w:bidi w:val="0"/>
              <w:rPr>
                <w:rFonts w:hint="eastAsia"/>
                <w:b/>
                <w:bCs/>
                <w:color w:val="auto"/>
                <w:highlight w:val="none"/>
              </w:rPr>
            </w:pPr>
            <w:r>
              <w:rPr>
                <w:rFonts w:hint="eastAsia"/>
                <w:b/>
                <w:bCs/>
                <w:color w:val="auto"/>
                <w:highlight w:val="none"/>
              </w:rPr>
              <w:t>姓名</w:t>
            </w:r>
          </w:p>
        </w:tc>
        <w:tc>
          <w:tcPr>
            <w:tcW w:w="923" w:type="dxa"/>
            <w:vMerge w:val="restart"/>
            <w:vAlign w:val="center"/>
          </w:tcPr>
          <w:p>
            <w:pPr>
              <w:pStyle w:val="49"/>
              <w:bidi w:val="0"/>
              <w:rPr>
                <w:rFonts w:hint="eastAsia"/>
                <w:b/>
                <w:bCs/>
                <w:color w:val="auto"/>
                <w:highlight w:val="none"/>
              </w:rPr>
            </w:pPr>
            <w:r>
              <w:rPr>
                <w:rFonts w:hint="eastAsia"/>
                <w:b/>
                <w:bCs/>
                <w:color w:val="auto"/>
                <w:highlight w:val="none"/>
              </w:rPr>
              <w:t>职称</w:t>
            </w:r>
          </w:p>
        </w:tc>
        <w:tc>
          <w:tcPr>
            <w:tcW w:w="922" w:type="dxa"/>
            <w:vMerge w:val="restart"/>
            <w:vAlign w:val="center"/>
          </w:tcPr>
          <w:p>
            <w:pPr>
              <w:pStyle w:val="49"/>
              <w:bidi w:val="0"/>
              <w:rPr>
                <w:rFonts w:hint="eastAsia"/>
                <w:b/>
                <w:bCs/>
                <w:color w:val="auto"/>
                <w:highlight w:val="none"/>
              </w:rPr>
            </w:pPr>
            <w:r>
              <w:rPr>
                <w:rFonts w:hint="eastAsia"/>
                <w:b/>
                <w:bCs/>
                <w:color w:val="auto"/>
                <w:highlight w:val="none"/>
              </w:rPr>
              <w:t>常住地</w:t>
            </w:r>
          </w:p>
        </w:tc>
        <w:tc>
          <w:tcPr>
            <w:tcW w:w="4919" w:type="dxa"/>
            <w:gridSpan w:val="4"/>
            <w:vAlign w:val="center"/>
          </w:tcPr>
          <w:p>
            <w:pPr>
              <w:pStyle w:val="49"/>
              <w:bidi w:val="0"/>
              <w:rPr>
                <w:rFonts w:hint="eastAsia"/>
                <w:b/>
                <w:bCs/>
                <w:color w:val="auto"/>
                <w:highlight w:val="none"/>
              </w:rPr>
            </w:pPr>
            <w:r>
              <w:rPr>
                <w:rFonts w:hint="eastAsia"/>
                <w:b/>
                <w:bCs/>
                <w:color w:val="auto"/>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continue"/>
            <w:vAlign w:val="center"/>
          </w:tcPr>
          <w:p>
            <w:pPr>
              <w:pStyle w:val="49"/>
              <w:bidi w:val="0"/>
              <w:rPr>
                <w:rFonts w:hint="eastAsia"/>
                <w:b/>
                <w:bCs/>
                <w:color w:val="auto"/>
                <w:highlight w:val="none"/>
              </w:rPr>
            </w:pPr>
          </w:p>
        </w:tc>
        <w:tc>
          <w:tcPr>
            <w:tcW w:w="923" w:type="dxa"/>
            <w:vMerge w:val="continue"/>
            <w:vAlign w:val="center"/>
          </w:tcPr>
          <w:p>
            <w:pPr>
              <w:pStyle w:val="49"/>
              <w:bidi w:val="0"/>
              <w:rPr>
                <w:rFonts w:hint="eastAsia"/>
                <w:b/>
                <w:bCs/>
                <w:color w:val="auto"/>
                <w:highlight w:val="none"/>
              </w:rPr>
            </w:pPr>
          </w:p>
        </w:tc>
        <w:tc>
          <w:tcPr>
            <w:tcW w:w="921" w:type="dxa"/>
            <w:vMerge w:val="continue"/>
            <w:vAlign w:val="center"/>
          </w:tcPr>
          <w:p>
            <w:pPr>
              <w:pStyle w:val="49"/>
              <w:bidi w:val="0"/>
              <w:rPr>
                <w:rFonts w:hint="eastAsia"/>
                <w:b/>
                <w:bCs/>
                <w:color w:val="auto"/>
                <w:highlight w:val="none"/>
              </w:rPr>
            </w:pPr>
          </w:p>
        </w:tc>
        <w:tc>
          <w:tcPr>
            <w:tcW w:w="923" w:type="dxa"/>
            <w:vMerge w:val="continue"/>
            <w:vAlign w:val="center"/>
          </w:tcPr>
          <w:p>
            <w:pPr>
              <w:pStyle w:val="49"/>
              <w:bidi w:val="0"/>
              <w:rPr>
                <w:rFonts w:hint="eastAsia"/>
                <w:b/>
                <w:bCs/>
                <w:color w:val="auto"/>
                <w:highlight w:val="none"/>
              </w:rPr>
            </w:pPr>
          </w:p>
        </w:tc>
        <w:tc>
          <w:tcPr>
            <w:tcW w:w="922" w:type="dxa"/>
            <w:vMerge w:val="continue"/>
            <w:vAlign w:val="center"/>
          </w:tcPr>
          <w:p>
            <w:pPr>
              <w:pStyle w:val="49"/>
              <w:bidi w:val="0"/>
              <w:rPr>
                <w:rFonts w:hint="eastAsia"/>
                <w:b/>
                <w:bCs/>
                <w:color w:val="auto"/>
                <w:highlight w:val="none"/>
              </w:rPr>
            </w:pPr>
          </w:p>
        </w:tc>
        <w:tc>
          <w:tcPr>
            <w:tcW w:w="1436" w:type="dxa"/>
            <w:vAlign w:val="center"/>
          </w:tcPr>
          <w:p>
            <w:pPr>
              <w:pStyle w:val="49"/>
              <w:bidi w:val="0"/>
              <w:rPr>
                <w:rFonts w:hint="eastAsia"/>
                <w:b/>
                <w:bCs/>
                <w:color w:val="auto"/>
                <w:highlight w:val="none"/>
              </w:rPr>
            </w:pPr>
            <w:r>
              <w:rPr>
                <w:rFonts w:hint="eastAsia"/>
                <w:b/>
                <w:bCs/>
                <w:color w:val="auto"/>
                <w:highlight w:val="none"/>
              </w:rPr>
              <w:t>证书名称</w:t>
            </w:r>
          </w:p>
        </w:tc>
        <w:tc>
          <w:tcPr>
            <w:tcW w:w="1022" w:type="dxa"/>
            <w:vAlign w:val="center"/>
          </w:tcPr>
          <w:p>
            <w:pPr>
              <w:pStyle w:val="49"/>
              <w:bidi w:val="0"/>
              <w:rPr>
                <w:rFonts w:hint="eastAsia"/>
                <w:b/>
                <w:bCs/>
                <w:color w:val="auto"/>
                <w:highlight w:val="none"/>
              </w:rPr>
            </w:pPr>
            <w:r>
              <w:rPr>
                <w:rFonts w:hint="eastAsia"/>
                <w:b/>
                <w:bCs/>
                <w:color w:val="auto"/>
                <w:highlight w:val="none"/>
              </w:rPr>
              <w:t>级别</w:t>
            </w:r>
          </w:p>
        </w:tc>
        <w:tc>
          <w:tcPr>
            <w:tcW w:w="1232" w:type="dxa"/>
            <w:vAlign w:val="center"/>
          </w:tcPr>
          <w:p>
            <w:pPr>
              <w:pStyle w:val="49"/>
              <w:bidi w:val="0"/>
              <w:rPr>
                <w:rFonts w:hint="eastAsia"/>
                <w:b/>
                <w:bCs/>
                <w:color w:val="auto"/>
                <w:highlight w:val="none"/>
              </w:rPr>
            </w:pPr>
            <w:r>
              <w:rPr>
                <w:rFonts w:hint="eastAsia"/>
                <w:b/>
                <w:bCs/>
                <w:color w:val="auto"/>
                <w:highlight w:val="none"/>
              </w:rPr>
              <w:t>证号</w:t>
            </w:r>
          </w:p>
        </w:tc>
        <w:tc>
          <w:tcPr>
            <w:tcW w:w="1229" w:type="dxa"/>
            <w:vAlign w:val="center"/>
          </w:tcPr>
          <w:p>
            <w:pPr>
              <w:pStyle w:val="49"/>
              <w:bidi w:val="0"/>
              <w:rPr>
                <w:rFonts w:hint="eastAsia"/>
                <w:b/>
                <w:bCs/>
                <w:color w:val="auto"/>
                <w:highlight w:val="none"/>
              </w:rPr>
            </w:pPr>
            <w:r>
              <w:rPr>
                <w:rFonts w:hint="eastAsia"/>
                <w:b/>
                <w:bCs/>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1" w:type="dxa"/>
            <w:vAlign w:val="top"/>
          </w:tcPr>
          <w:p>
            <w:pPr>
              <w:pStyle w:val="49"/>
              <w:bidi w:val="0"/>
              <w:rPr>
                <w:rFonts w:hint="eastAsia"/>
                <w:color w:val="auto"/>
                <w:highlight w:val="none"/>
              </w:rPr>
            </w:pPr>
          </w:p>
        </w:tc>
        <w:tc>
          <w:tcPr>
            <w:tcW w:w="923" w:type="dxa"/>
            <w:vAlign w:val="top"/>
          </w:tcPr>
          <w:p>
            <w:pPr>
              <w:pStyle w:val="49"/>
              <w:bidi w:val="0"/>
              <w:rPr>
                <w:rFonts w:hint="eastAsia"/>
                <w:color w:val="auto"/>
                <w:highlight w:val="none"/>
              </w:rPr>
            </w:pPr>
          </w:p>
        </w:tc>
        <w:tc>
          <w:tcPr>
            <w:tcW w:w="922" w:type="dxa"/>
            <w:vAlign w:val="top"/>
          </w:tcPr>
          <w:p>
            <w:pPr>
              <w:pStyle w:val="49"/>
              <w:bidi w:val="0"/>
              <w:rPr>
                <w:rFonts w:hint="eastAsia"/>
                <w:color w:val="auto"/>
                <w:highlight w:val="none"/>
              </w:rPr>
            </w:pPr>
          </w:p>
        </w:tc>
        <w:tc>
          <w:tcPr>
            <w:tcW w:w="1436" w:type="dxa"/>
            <w:vAlign w:val="top"/>
          </w:tcPr>
          <w:p>
            <w:pPr>
              <w:pStyle w:val="49"/>
              <w:bidi w:val="0"/>
              <w:rPr>
                <w:rFonts w:hint="eastAsia"/>
                <w:color w:val="auto"/>
                <w:highlight w:val="none"/>
              </w:rPr>
            </w:pPr>
          </w:p>
        </w:tc>
        <w:tc>
          <w:tcPr>
            <w:tcW w:w="1022" w:type="dxa"/>
            <w:vAlign w:val="top"/>
          </w:tcPr>
          <w:p>
            <w:pPr>
              <w:pStyle w:val="49"/>
              <w:bidi w:val="0"/>
              <w:rPr>
                <w:rFonts w:hint="eastAsia"/>
                <w:color w:val="auto"/>
                <w:highlight w:val="none"/>
              </w:rPr>
            </w:pPr>
          </w:p>
        </w:tc>
        <w:tc>
          <w:tcPr>
            <w:tcW w:w="1232" w:type="dxa"/>
            <w:vAlign w:val="top"/>
          </w:tcPr>
          <w:p>
            <w:pPr>
              <w:pStyle w:val="49"/>
              <w:bidi w:val="0"/>
              <w:rPr>
                <w:rFonts w:hint="eastAsia"/>
                <w:color w:val="auto"/>
                <w:highlight w:val="none"/>
              </w:rPr>
            </w:pPr>
          </w:p>
        </w:tc>
        <w:tc>
          <w:tcPr>
            <w:tcW w:w="1229" w:type="dxa"/>
            <w:vAlign w:val="top"/>
          </w:tcPr>
          <w:p>
            <w:pPr>
              <w:pStyle w:val="49"/>
              <w:bidi w:val="0"/>
              <w:rPr>
                <w:rFonts w:hint="eastAsia"/>
                <w:color w:val="auto"/>
                <w:highlight w:val="none"/>
              </w:rPr>
            </w:pPr>
          </w:p>
        </w:tc>
      </w:tr>
    </w:tbl>
    <w:p>
      <w:pPr>
        <w:pStyle w:val="50"/>
        <w:bidi w:val="0"/>
        <w:rPr>
          <w:rFonts w:hint="eastAsia"/>
          <w:color w:val="auto"/>
          <w:sz w:val="24"/>
          <w:szCs w:val="24"/>
          <w:highlight w:val="none"/>
        </w:rPr>
      </w:pPr>
      <w:r>
        <w:rPr>
          <w:rFonts w:hint="eastAsia"/>
          <w:color w:val="auto"/>
          <w:sz w:val="24"/>
          <w:szCs w:val="24"/>
          <w:highlight w:val="none"/>
        </w:rPr>
        <w:t>注：</w:t>
      </w:r>
      <w:r>
        <w:rPr>
          <w:rFonts w:hint="eastAsia"/>
          <w:color w:val="auto"/>
          <w:sz w:val="24"/>
          <w:szCs w:val="24"/>
          <w:highlight w:val="none"/>
          <w:lang w:val="en-US" w:eastAsia="zh-CN"/>
        </w:rPr>
        <w:t>①投标人</w:t>
      </w:r>
      <w:r>
        <w:rPr>
          <w:rFonts w:hint="eastAsia"/>
          <w:color w:val="auto"/>
          <w:sz w:val="24"/>
          <w:szCs w:val="24"/>
          <w:highlight w:val="none"/>
        </w:rPr>
        <w:t>根据</w:t>
      </w:r>
      <w:r>
        <w:rPr>
          <w:rFonts w:hint="eastAsia"/>
          <w:color w:val="auto"/>
          <w:sz w:val="24"/>
          <w:szCs w:val="24"/>
          <w:highlight w:val="none"/>
          <w:lang w:val="en-US" w:eastAsia="zh-CN"/>
        </w:rPr>
        <w:t>自身</w:t>
      </w:r>
      <w:r>
        <w:rPr>
          <w:rFonts w:hint="eastAsia"/>
          <w:color w:val="auto"/>
          <w:sz w:val="24"/>
          <w:szCs w:val="24"/>
          <w:highlight w:val="none"/>
        </w:rPr>
        <w:t>实际情况</w:t>
      </w:r>
      <w:r>
        <w:rPr>
          <w:rFonts w:hint="eastAsia"/>
          <w:color w:val="auto"/>
          <w:sz w:val="24"/>
          <w:szCs w:val="24"/>
          <w:highlight w:val="none"/>
          <w:lang w:val="en-US" w:eastAsia="zh-CN"/>
        </w:rPr>
        <w:t>填写</w:t>
      </w:r>
      <w:r>
        <w:rPr>
          <w:rFonts w:hint="eastAsia"/>
          <w:color w:val="auto"/>
          <w:sz w:val="24"/>
          <w:szCs w:val="24"/>
          <w:highlight w:val="none"/>
        </w:rPr>
        <w:t>，</w:t>
      </w:r>
      <w:r>
        <w:rPr>
          <w:rFonts w:hint="eastAsia"/>
          <w:color w:val="auto"/>
          <w:sz w:val="24"/>
          <w:szCs w:val="24"/>
          <w:highlight w:val="none"/>
          <w:lang w:val="en-US" w:eastAsia="zh-CN"/>
        </w:rPr>
        <w:t>对不涉及的内容可填写“/”</w:t>
      </w:r>
      <w:r>
        <w:rPr>
          <w:rFonts w:hint="eastAsia"/>
          <w:color w:val="auto"/>
          <w:sz w:val="24"/>
          <w:szCs w:val="24"/>
          <w:highlight w:val="none"/>
        </w:rPr>
        <w:t>。</w:t>
      </w:r>
      <w:r>
        <w:rPr>
          <w:rFonts w:hint="eastAsia"/>
          <w:color w:val="auto"/>
          <w:sz w:val="24"/>
          <w:szCs w:val="24"/>
          <w:highlight w:val="none"/>
          <w:lang w:val="en-US" w:eastAsia="zh-CN"/>
        </w:rPr>
        <w:t>②本表所列项目管理成员信息将作为主管部门监督管理是否属于</w:t>
      </w:r>
      <w:r>
        <w:rPr>
          <w:rFonts w:hint="eastAsia"/>
          <w:color w:val="auto"/>
          <w:sz w:val="24"/>
          <w:szCs w:val="24"/>
          <w:highlight w:val="none"/>
        </w:rPr>
        <w:t>串通投标</w:t>
      </w:r>
      <w:r>
        <w:rPr>
          <w:rFonts w:hint="eastAsia"/>
          <w:color w:val="auto"/>
          <w:sz w:val="24"/>
          <w:szCs w:val="24"/>
          <w:highlight w:val="none"/>
          <w:lang w:val="en-US" w:eastAsia="zh-CN"/>
        </w:rPr>
        <w:t>的情形。</w:t>
      </w:r>
    </w:p>
    <w:p>
      <w:pPr>
        <w:pStyle w:val="25"/>
        <w:bidi w:val="0"/>
        <w:rPr>
          <w:rFonts w:hint="eastAsia"/>
          <w:color w:val="auto"/>
          <w:highlight w:val="none"/>
        </w:rPr>
      </w:pPr>
    </w:p>
    <w:p>
      <w:pPr>
        <w:pStyle w:val="25"/>
        <w:bidi w:val="0"/>
        <w:rPr>
          <w:rFonts w:hint="eastAsia"/>
          <w:color w:val="auto"/>
          <w:highlight w:val="none"/>
        </w:rPr>
      </w:pP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p>
      <w:pPr>
        <w:pStyle w:val="25"/>
        <w:bidi w:val="0"/>
        <w:rPr>
          <w:rFonts w:hint="eastAsia"/>
          <w:color w:val="auto"/>
          <w:highlight w:val="none"/>
          <w:lang w:val="en-US" w:eastAsia="zh-CN"/>
        </w:rPr>
      </w:pPr>
      <w:r>
        <w:rPr>
          <w:rFonts w:hint="eastAsia"/>
          <w:color w:val="auto"/>
          <w:highlight w:val="none"/>
          <w:lang w:val="en-US" w:eastAsia="zh-CN"/>
        </w:rPr>
        <w:br w:type="page"/>
      </w:r>
      <w:bookmarkEnd w:id="935"/>
    </w:p>
    <w:p>
      <w:pPr>
        <w:pStyle w:val="48"/>
        <w:numPr>
          <w:ilvl w:val="0"/>
          <w:numId w:val="21"/>
        </w:numPr>
        <w:bidi w:val="0"/>
        <w:ind w:left="0" w:leftChars="0" w:firstLine="0" w:firstLineChars="0"/>
        <w:rPr>
          <w:rFonts w:hint="eastAsia"/>
          <w:color w:val="auto"/>
          <w:highlight w:val="none"/>
          <w:lang w:val="en-US" w:eastAsia="zh-CN"/>
        </w:rPr>
      </w:pPr>
      <w:bookmarkStart w:id="936" w:name="_Toc2450"/>
      <w:bookmarkStart w:id="937" w:name="_Toc8563"/>
      <w:bookmarkStart w:id="938" w:name="_Toc122"/>
      <w:bookmarkStart w:id="939" w:name="_Toc8363"/>
      <w:r>
        <w:rPr>
          <w:rFonts w:hint="eastAsia"/>
          <w:color w:val="auto"/>
          <w:highlight w:val="none"/>
          <w:lang w:val="en-US" w:eastAsia="zh-CN"/>
        </w:rPr>
        <w:t>中小企业声明函</w:t>
      </w:r>
      <w:bookmarkEnd w:id="936"/>
      <w:r>
        <w:rPr>
          <w:rFonts w:hint="eastAsia"/>
          <w:color w:val="auto"/>
          <w:highlight w:val="none"/>
          <w:lang w:val="en-US" w:eastAsia="zh-CN"/>
        </w:rPr>
        <w:t>(货物</w:t>
      </w:r>
      <w:bookmarkEnd w:id="937"/>
      <w:bookmarkEnd w:id="938"/>
      <w:r>
        <w:rPr>
          <w:rFonts w:hint="eastAsia"/>
          <w:color w:val="auto"/>
          <w:highlight w:val="none"/>
          <w:lang w:val="en-US" w:eastAsia="zh-CN"/>
        </w:rPr>
        <w:t>)</w:t>
      </w:r>
      <w:bookmarkEnd w:id="939"/>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bookmarkStart w:id="940" w:name="_Toc8055"/>
      <w:bookmarkStart w:id="941" w:name="_Toc11278"/>
      <w:bookmarkStart w:id="942" w:name="_Toc26771"/>
      <w:bookmarkStart w:id="943" w:name="_Toc14544"/>
      <w:bookmarkStart w:id="944" w:name="_Toc30256"/>
      <w:bookmarkStart w:id="945" w:name="_Toc417911732"/>
      <w:bookmarkStart w:id="946" w:name="_Toc387658050"/>
      <w:bookmarkStart w:id="947" w:name="_Toc413748654"/>
      <w:bookmarkStart w:id="948" w:name="_Toc419811733"/>
      <w:bookmarkStart w:id="949" w:name="_Toc387147344"/>
      <w:r>
        <w:rPr>
          <w:rFonts w:hint="default"/>
          <w:color w:val="auto"/>
          <w:sz w:val="24"/>
          <w:szCs w:val="24"/>
        </w:rPr>
        <w:t>本公司（联合体）郑重声明，根据《政府采购促进中小企业发展管理办法》（财库</w:t>
      </w:r>
      <w:r>
        <w:rPr>
          <w:rFonts w:hint="eastAsia"/>
          <w:color w:val="auto"/>
          <w:sz w:val="24"/>
          <w:szCs w:val="24"/>
        </w:rPr>
        <w:t>﹝</w:t>
      </w:r>
      <w:r>
        <w:rPr>
          <w:rFonts w:hint="default"/>
          <w:color w:val="auto"/>
          <w:sz w:val="24"/>
          <w:szCs w:val="24"/>
        </w:rPr>
        <w:t>2020</w:t>
      </w:r>
      <w:r>
        <w:rPr>
          <w:rFonts w:hint="eastAsia"/>
          <w:color w:val="auto"/>
          <w:sz w:val="24"/>
          <w:szCs w:val="24"/>
        </w:rPr>
        <w:t>﹞</w:t>
      </w:r>
      <w:r>
        <w:rPr>
          <w:rFonts w:hint="default"/>
          <w:color w:val="auto"/>
          <w:sz w:val="24"/>
          <w:szCs w:val="24"/>
        </w:rPr>
        <w:t>46 号）的规定，本公司（联合体）参加</w:t>
      </w:r>
      <w:r>
        <w:rPr>
          <w:rFonts w:hint="default"/>
          <w:i/>
          <w:iCs/>
          <w:color w:val="auto"/>
          <w:sz w:val="24"/>
          <w:szCs w:val="24"/>
          <w:u w:val="single"/>
        </w:rPr>
        <w:t>（单位名称）</w:t>
      </w:r>
      <w:r>
        <w:rPr>
          <w:rFonts w:hint="default"/>
          <w:color w:val="auto"/>
          <w:sz w:val="24"/>
          <w:szCs w:val="24"/>
        </w:rPr>
        <w:t>的</w:t>
      </w:r>
      <w:r>
        <w:rPr>
          <w:rFonts w:hint="default"/>
          <w:i/>
          <w:iCs/>
          <w:color w:val="auto"/>
          <w:sz w:val="24"/>
          <w:szCs w:val="24"/>
          <w:u w:val="single"/>
        </w:rPr>
        <w:t>（项目名称）</w:t>
      </w:r>
      <w:r>
        <w:rPr>
          <w:rFonts w:hint="default"/>
          <w:color w:val="auto"/>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r>
        <w:rPr>
          <w:rFonts w:hint="eastAsia"/>
          <w:color w:val="auto"/>
          <w:sz w:val="24"/>
          <w:szCs w:val="24"/>
          <w:lang w:val="en-US" w:eastAsia="zh-CN"/>
        </w:rPr>
        <w:t>1.</w:t>
      </w:r>
      <w:r>
        <w:rPr>
          <w:rFonts w:hint="default"/>
          <w:i/>
          <w:iCs/>
          <w:color w:val="auto"/>
          <w:sz w:val="24"/>
          <w:szCs w:val="24"/>
          <w:u w:val="single"/>
        </w:rPr>
        <w:t>（标的名称）</w:t>
      </w:r>
      <w:r>
        <w:rPr>
          <w:rFonts w:hint="default"/>
          <w:color w:val="auto"/>
          <w:sz w:val="24"/>
          <w:szCs w:val="24"/>
        </w:rPr>
        <w:t>，属于</w:t>
      </w:r>
      <w:r>
        <w:rPr>
          <w:rFonts w:hint="default"/>
          <w:i/>
          <w:iCs/>
          <w:color w:val="auto"/>
          <w:sz w:val="24"/>
          <w:szCs w:val="24"/>
          <w:u w:val="single"/>
        </w:rPr>
        <w:t>（采购文件中明确的所属行业）</w:t>
      </w:r>
      <w:r>
        <w:rPr>
          <w:rFonts w:hint="default"/>
          <w:color w:val="auto"/>
          <w:sz w:val="24"/>
          <w:szCs w:val="24"/>
        </w:rPr>
        <w:t>；承建（承接）企业为</w:t>
      </w:r>
      <w:r>
        <w:rPr>
          <w:rFonts w:hint="default"/>
          <w:i/>
          <w:iCs/>
          <w:color w:val="auto"/>
          <w:sz w:val="24"/>
          <w:szCs w:val="24"/>
          <w:u w:val="single"/>
        </w:rPr>
        <w:t>（企业名称）</w:t>
      </w:r>
      <w:r>
        <w:rPr>
          <w:rFonts w:hint="default"/>
          <w:color w:val="auto"/>
          <w:sz w:val="24"/>
          <w:szCs w:val="24"/>
        </w:rPr>
        <w:t>，从业人员</w:t>
      </w:r>
      <w:r>
        <w:rPr>
          <w:rFonts w:hint="eastAsia"/>
          <w:color w:val="auto"/>
          <w:sz w:val="24"/>
          <w:szCs w:val="24"/>
          <w:u w:val="single"/>
          <w:lang w:val="en-US" w:eastAsia="zh-CN"/>
        </w:rPr>
        <w:t xml:space="preserve">    </w:t>
      </w:r>
      <w:r>
        <w:rPr>
          <w:rFonts w:hint="default"/>
          <w:color w:val="auto"/>
          <w:sz w:val="24"/>
          <w:szCs w:val="24"/>
        </w:rPr>
        <w:tab/>
      </w:r>
      <w:r>
        <w:rPr>
          <w:rFonts w:hint="default"/>
          <w:color w:val="auto"/>
          <w:sz w:val="24"/>
          <w:szCs w:val="24"/>
        </w:rPr>
        <w:t>人，营业收入为</w:t>
      </w:r>
      <w:r>
        <w:rPr>
          <w:rFonts w:hint="eastAsia"/>
          <w:color w:val="auto"/>
          <w:sz w:val="24"/>
          <w:szCs w:val="24"/>
          <w:u w:val="single"/>
          <w:lang w:val="en-US" w:eastAsia="zh-CN"/>
        </w:rPr>
        <w:t xml:space="preserve">    </w:t>
      </w:r>
      <w:r>
        <w:rPr>
          <w:rFonts w:hint="default"/>
          <w:color w:val="auto"/>
          <w:sz w:val="24"/>
          <w:szCs w:val="24"/>
        </w:rPr>
        <w:tab/>
      </w:r>
      <w:r>
        <w:rPr>
          <w:rFonts w:hint="default"/>
          <w:color w:val="auto"/>
          <w:sz w:val="24"/>
          <w:szCs w:val="24"/>
        </w:rPr>
        <w:t>万元，资产总额为</w:t>
      </w:r>
      <w:r>
        <w:rPr>
          <w:rFonts w:hint="eastAsia"/>
          <w:color w:val="auto"/>
          <w:sz w:val="24"/>
          <w:szCs w:val="24"/>
          <w:u w:val="single"/>
          <w:lang w:val="en-US" w:eastAsia="zh-CN"/>
        </w:rPr>
        <w:t xml:space="preserve">    </w:t>
      </w:r>
      <w:r>
        <w:rPr>
          <w:rFonts w:hint="default"/>
          <w:color w:val="auto"/>
          <w:sz w:val="24"/>
          <w:szCs w:val="24"/>
        </w:rPr>
        <w:tab/>
      </w:r>
      <w:r>
        <w:rPr>
          <w:rFonts w:hint="default"/>
          <w:color w:val="auto"/>
          <w:sz w:val="24"/>
          <w:szCs w:val="24"/>
        </w:rPr>
        <w:t>万元</w:t>
      </w:r>
      <w:r>
        <w:rPr>
          <w:rFonts w:hint="default"/>
          <w:color w:val="auto"/>
          <w:sz w:val="24"/>
          <w:szCs w:val="24"/>
          <w:vertAlign w:val="superscript"/>
        </w:rPr>
        <w:fldChar w:fldCharType="begin"/>
      </w:r>
      <w:r>
        <w:rPr>
          <w:rFonts w:hint="default"/>
          <w:color w:val="auto"/>
          <w:sz w:val="24"/>
          <w:szCs w:val="24"/>
          <w:vertAlign w:val="superscript"/>
        </w:rPr>
        <w:instrText xml:space="preserve"> HYPERLINK \l "_bookmark1" </w:instrText>
      </w:r>
      <w:r>
        <w:rPr>
          <w:rFonts w:hint="default"/>
          <w:color w:val="auto"/>
          <w:sz w:val="24"/>
          <w:szCs w:val="24"/>
          <w:vertAlign w:val="superscript"/>
        </w:rPr>
        <w:fldChar w:fldCharType="separate"/>
      </w:r>
      <w:r>
        <w:rPr>
          <w:rFonts w:hint="default"/>
          <w:color w:val="auto"/>
          <w:sz w:val="24"/>
          <w:szCs w:val="24"/>
          <w:vertAlign w:val="superscript"/>
        </w:rPr>
        <w:t>1</w:t>
      </w:r>
      <w:r>
        <w:rPr>
          <w:rFonts w:hint="default"/>
          <w:color w:val="auto"/>
          <w:sz w:val="24"/>
          <w:szCs w:val="24"/>
          <w:vertAlign w:val="superscript"/>
        </w:rPr>
        <w:fldChar w:fldCharType="end"/>
      </w:r>
      <w:r>
        <w:rPr>
          <w:rFonts w:hint="default"/>
          <w:color w:val="auto"/>
          <w:sz w:val="24"/>
          <w:szCs w:val="24"/>
        </w:rPr>
        <w:t>，属于</w:t>
      </w:r>
      <w:r>
        <w:rPr>
          <w:rFonts w:hint="default"/>
          <w:i/>
          <w:iCs/>
          <w:color w:val="auto"/>
          <w:sz w:val="24"/>
          <w:szCs w:val="24"/>
          <w:u w:val="single"/>
        </w:rPr>
        <w:t>（中型企业、小型企业、微型企业）</w:t>
      </w:r>
      <w:r>
        <w:rPr>
          <w:rFonts w:hint="default"/>
          <w:color w:val="auto"/>
          <w:sz w:val="24"/>
          <w:szCs w:val="24"/>
        </w:rPr>
        <w:t>；</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r>
        <w:rPr>
          <w:rFonts w:hint="eastAsia"/>
          <w:color w:val="auto"/>
          <w:sz w:val="24"/>
          <w:szCs w:val="24"/>
          <w:lang w:val="en-US" w:eastAsia="zh-CN"/>
        </w:rPr>
        <w:t>2.</w:t>
      </w:r>
      <w:r>
        <w:rPr>
          <w:rFonts w:hint="default"/>
          <w:i/>
          <w:iCs/>
          <w:color w:val="auto"/>
          <w:sz w:val="24"/>
          <w:szCs w:val="24"/>
          <w:u w:val="single"/>
        </w:rPr>
        <w:t>（标的名称）</w:t>
      </w:r>
      <w:r>
        <w:rPr>
          <w:rFonts w:hint="default"/>
          <w:color w:val="auto"/>
          <w:sz w:val="24"/>
          <w:szCs w:val="24"/>
        </w:rPr>
        <w:t>，属于</w:t>
      </w:r>
      <w:r>
        <w:rPr>
          <w:rFonts w:hint="default"/>
          <w:i/>
          <w:iCs/>
          <w:color w:val="auto"/>
          <w:sz w:val="24"/>
          <w:szCs w:val="24"/>
          <w:u w:val="single"/>
        </w:rPr>
        <w:t>（采购文件中明确的所属行业）</w:t>
      </w:r>
      <w:r>
        <w:rPr>
          <w:rFonts w:hint="default"/>
          <w:color w:val="auto"/>
          <w:sz w:val="24"/>
          <w:szCs w:val="24"/>
        </w:rPr>
        <w:t>；承建（承接）企业为</w:t>
      </w:r>
      <w:r>
        <w:rPr>
          <w:rFonts w:hint="default"/>
          <w:i/>
          <w:iCs/>
          <w:color w:val="auto"/>
          <w:sz w:val="24"/>
          <w:szCs w:val="24"/>
          <w:u w:val="single"/>
        </w:rPr>
        <w:t>（企业名称）</w:t>
      </w:r>
      <w:r>
        <w:rPr>
          <w:rFonts w:hint="default"/>
          <w:color w:val="auto"/>
          <w:sz w:val="24"/>
          <w:szCs w:val="24"/>
        </w:rPr>
        <w:t>，从业人员</w:t>
      </w:r>
      <w:r>
        <w:rPr>
          <w:rFonts w:hint="eastAsia"/>
          <w:color w:val="auto"/>
          <w:sz w:val="24"/>
          <w:szCs w:val="24"/>
          <w:u w:val="single"/>
          <w:lang w:val="en-US" w:eastAsia="zh-CN"/>
        </w:rPr>
        <w:t xml:space="preserve">    </w:t>
      </w:r>
      <w:r>
        <w:rPr>
          <w:rFonts w:hint="default"/>
          <w:color w:val="auto"/>
          <w:sz w:val="24"/>
          <w:szCs w:val="24"/>
        </w:rPr>
        <w:tab/>
      </w:r>
      <w:r>
        <w:rPr>
          <w:rFonts w:hint="default"/>
          <w:color w:val="auto"/>
          <w:sz w:val="24"/>
          <w:szCs w:val="24"/>
        </w:rPr>
        <w:t>人，营业收入为</w:t>
      </w:r>
      <w:r>
        <w:rPr>
          <w:rFonts w:hint="eastAsia"/>
          <w:color w:val="auto"/>
          <w:sz w:val="24"/>
          <w:szCs w:val="24"/>
          <w:u w:val="single"/>
          <w:lang w:val="en-US" w:eastAsia="zh-CN"/>
        </w:rPr>
        <w:t xml:space="preserve">    </w:t>
      </w:r>
      <w:r>
        <w:rPr>
          <w:rFonts w:hint="default"/>
          <w:color w:val="auto"/>
          <w:sz w:val="24"/>
          <w:szCs w:val="24"/>
        </w:rPr>
        <w:t>万元，资产总额为</w:t>
      </w:r>
      <w:r>
        <w:rPr>
          <w:rFonts w:hint="eastAsia"/>
          <w:color w:val="auto"/>
          <w:sz w:val="24"/>
          <w:szCs w:val="24"/>
          <w:u w:val="single"/>
          <w:lang w:val="en-US" w:eastAsia="zh-CN"/>
        </w:rPr>
        <w:t xml:space="preserve">    </w:t>
      </w:r>
      <w:r>
        <w:rPr>
          <w:rFonts w:hint="default"/>
          <w:color w:val="auto"/>
          <w:sz w:val="24"/>
          <w:szCs w:val="24"/>
        </w:rPr>
        <w:t>万元，属于</w:t>
      </w:r>
      <w:r>
        <w:rPr>
          <w:rFonts w:hint="default"/>
          <w:i/>
          <w:iCs/>
          <w:color w:val="auto"/>
          <w:sz w:val="24"/>
          <w:szCs w:val="24"/>
          <w:u w:val="single"/>
        </w:rPr>
        <w:t>（中型企业、小型企业、微型企业）</w:t>
      </w:r>
      <w:r>
        <w:rPr>
          <w:rFonts w:hint="default"/>
          <w:color w:val="auto"/>
          <w:sz w:val="24"/>
          <w:szCs w:val="24"/>
        </w:rPr>
        <w:t>；</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r>
        <w:rPr>
          <w:rFonts w:hint="default"/>
          <w:color w:val="auto"/>
          <w:sz w:val="24"/>
          <w:szCs w:val="24"/>
        </w:rPr>
        <w:t>……</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r>
        <w:rPr>
          <w:rFonts w:hint="default"/>
          <w:color w:val="auto"/>
          <w:sz w:val="24"/>
          <w:szCs w:val="24"/>
        </w:rPr>
        <w:t>以上企业，不属于大企业的分支机构，不存在控股股东为大企业的情形，也不存在与大企业的负责人为同一人的情形。</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textAlignment w:val="center"/>
        <w:rPr>
          <w:rFonts w:hint="default"/>
          <w:color w:val="auto"/>
          <w:sz w:val="24"/>
          <w:szCs w:val="24"/>
        </w:rPr>
      </w:pPr>
      <w:r>
        <w:rPr>
          <w:rFonts w:hint="default"/>
          <w:color w:val="auto"/>
          <w:sz w:val="24"/>
          <w:szCs w:val="24"/>
        </w:rPr>
        <w:t>本企业对上述声明内容的真实性负责。如有虚假，将依法承担相应责任。</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jc w:val="center"/>
        <w:textAlignment w:val="center"/>
        <w:rPr>
          <w:rFonts w:hint="eastAsia"/>
          <w:color w:val="auto"/>
          <w:sz w:val="24"/>
          <w:szCs w:val="24"/>
          <w:lang w:val="en-US" w:eastAsia="zh-CN"/>
        </w:rPr>
      </w:pPr>
      <w:r>
        <w:rPr>
          <w:rFonts w:hint="eastAsia"/>
          <w:color w:val="auto"/>
          <w:sz w:val="24"/>
          <w:szCs w:val="24"/>
          <w:lang w:val="en-US" w:eastAsia="zh-CN"/>
        </w:rPr>
        <w:t xml:space="preserve">           </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jc w:val="center"/>
        <w:textAlignment w:val="center"/>
        <w:rPr>
          <w:rFonts w:hint="default"/>
          <w:color w:val="auto"/>
          <w:sz w:val="24"/>
          <w:szCs w:val="24"/>
        </w:rPr>
      </w:pPr>
      <w:r>
        <w:rPr>
          <w:rFonts w:hint="eastAsia"/>
          <w:color w:val="auto"/>
          <w:sz w:val="24"/>
          <w:szCs w:val="24"/>
          <w:lang w:val="en-US" w:eastAsia="zh-CN"/>
        </w:rPr>
        <w:t xml:space="preserve">            </w:t>
      </w:r>
      <w:r>
        <w:rPr>
          <w:rFonts w:hint="default"/>
          <w:color w:val="auto"/>
          <w:sz w:val="24"/>
          <w:szCs w:val="24"/>
        </w:rPr>
        <w:t>企业名称（盖章）：</w:t>
      </w:r>
    </w:p>
    <w:p>
      <w:pPr>
        <w:pStyle w:val="73"/>
        <w:keepNext w:val="0"/>
        <w:keepLines w:val="0"/>
        <w:pageBreakBefore w:val="0"/>
        <w:widowControl w:val="0"/>
        <w:shd w:val="clear" w:color="auto" w:fill="FFFFFF"/>
        <w:kinsoku/>
        <w:overflowPunct/>
        <w:autoSpaceDE/>
        <w:autoSpaceDN/>
        <w:bidi w:val="0"/>
        <w:adjustRightInd w:val="0"/>
        <w:snapToGrid w:val="0"/>
        <w:spacing w:line="440" w:lineRule="exact"/>
        <w:ind w:firstLine="480" w:firstLineChars="200"/>
        <w:jc w:val="center"/>
        <w:textAlignment w:val="center"/>
        <w:rPr>
          <w:sz w:val="24"/>
          <w:szCs w:val="24"/>
        </w:rPr>
      </w:pPr>
      <w:r>
        <w:rPr>
          <w:rFonts w:hint="default"/>
          <w:color w:val="auto"/>
          <w:sz w:val="24"/>
          <w:szCs w:val="24"/>
        </w:rPr>
        <w:t>日期</w:t>
      </w:r>
      <w:r>
        <w:rPr>
          <w:spacing w:val="24"/>
          <w:sz w:val="24"/>
          <w:szCs w:val="24"/>
        </w:rPr>
        <w:t>：</w:t>
      </w:r>
    </w:p>
    <w:p>
      <w:pPr>
        <w:keepNext w:val="0"/>
        <w:keepLines w:val="0"/>
        <w:pageBreakBefore w:val="0"/>
        <w:widowControl w:val="0"/>
        <w:kinsoku/>
        <w:overflowPunct/>
        <w:autoSpaceDE/>
        <w:autoSpaceDN/>
        <w:bidi w:val="0"/>
        <w:adjustRightInd w:val="0"/>
        <w:snapToGrid w:val="0"/>
        <w:spacing w:after="0" w:line="440" w:lineRule="exact"/>
        <w:rPr>
          <w:sz w:val="24"/>
          <w:szCs w:val="24"/>
        </w:rPr>
      </w:pPr>
    </w:p>
    <w:p>
      <w:pPr>
        <w:pStyle w:val="50"/>
        <w:keepNext w:val="0"/>
        <w:keepLines w:val="0"/>
        <w:pageBreakBefore w:val="0"/>
        <w:widowControl w:val="0"/>
        <w:kinsoku/>
        <w:overflowPunct/>
        <w:autoSpaceDE/>
        <w:autoSpaceDN/>
        <w:bidi w:val="0"/>
        <w:adjustRightInd w:val="0"/>
        <w:snapToGrid w:val="0"/>
        <w:spacing w:line="440" w:lineRule="exact"/>
        <w:ind w:firstLine="482"/>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从业人员、营业收入、资产总额填报上一年度数据，无上一年度数据的新成立企业可不填报。</w:t>
      </w:r>
    </w:p>
    <w:p>
      <w:pPr>
        <w:pStyle w:val="48"/>
        <w:numPr>
          <w:ilvl w:val="0"/>
          <w:numId w:val="21"/>
        </w:numPr>
        <w:bidi w:val="0"/>
        <w:ind w:left="0" w:leftChars="0" w:firstLine="0" w:firstLineChars="0"/>
        <w:rPr>
          <w:rFonts w:hint="eastAsia"/>
          <w:color w:val="auto"/>
          <w:highlight w:val="none"/>
          <w:lang w:val="en-US" w:eastAsia="zh-CN"/>
        </w:rPr>
      </w:pPr>
      <w:r>
        <w:rPr>
          <w:rFonts w:hint="eastAsia"/>
          <w:color w:val="auto"/>
          <w:highlight w:val="none"/>
          <w:lang w:val="en-US" w:eastAsia="zh-CN"/>
        </w:rPr>
        <w:t>监狱企业相关证明材料</w:t>
      </w:r>
      <w:bookmarkEnd w:id="940"/>
      <w:r>
        <w:rPr>
          <w:rFonts w:hint="eastAsia"/>
          <w:color w:val="auto"/>
          <w:highlight w:val="none"/>
          <w:lang w:val="en-US" w:eastAsia="zh-CN"/>
        </w:rPr>
        <w:t>(如涉及</w:t>
      </w:r>
      <w:bookmarkEnd w:id="941"/>
      <w:r>
        <w:rPr>
          <w:rFonts w:hint="eastAsia"/>
          <w:color w:val="auto"/>
          <w:highlight w:val="none"/>
          <w:lang w:val="en-US" w:eastAsia="zh-CN"/>
        </w:rPr>
        <w:t>)</w:t>
      </w:r>
      <w:bookmarkEnd w:id="942"/>
      <w:bookmarkEnd w:id="943"/>
      <w:bookmarkEnd w:id="944"/>
    </w:p>
    <w:p>
      <w:pPr>
        <w:pStyle w:val="50"/>
        <w:bidi w:val="0"/>
        <w:rPr>
          <w:rFonts w:hint="eastAsia"/>
          <w:color w:val="auto"/>
          <w:highlight w:val="none"/>
        </w:rPr>
      </w:pPr>
      <w:r>
        <w:rPr>
          <w:rFonts w:hint="eastAsia"/>
          <w:color w:val="auto"/>
          <w:highlight w:val="none"/>
        </w:rPr>
        <w:t>说明：</w:t>
      </w:r>
    </w:p>
    <w:p>
      <w:pPr>
        <w:pStyle w:val="50"/>
        <w:bidi w:val="0"/>
        <w:rPr>
          <w:rFonts w:hint="eastAsia"/>
          <w:color w:val="auto"/>
          <w:highlight w:val="none"/>
        </w:rPr>
      </w:pPr>
      <w:r>
        <w:rPr>
          <w:rFonts w:hint="eastAsia"/>
          <w:color w:val="auto"/>
          <w:highlight w:val="none"/>
          <w:lang w:val="en-US" w:eastAsia="zh-CN"/>
        </w:rPr>
        <w:t>①监狱企业参加政府采购活动时，应当提供由省级以上监狱管理局、戒毒管理局(含新疆生产建设兵团)出具的属于监狱企业的证明文件。</w:t>
      </w:r>
    </w:p>
    <w:p>
      <w:pPr>
        <w:pStyle w:val="50"/>
        <w:bidi w:val="0"/>
        <w:rPr>
          <w:rFonts w:hint="eastAsia"/>
          <w:color w:val="auto"/>
          <w:highlight w:val="none"/>
        </w:rPr>
      </w:pPr>
      <w:r>
        <w:rPr>
          <w:rFonts w:hint="eastAsia"/>
          <w:color w:val="auto"/>
          <w:highlight w:val="none"/>
          <w:lang w:val="en-US" w:eastAsia="zh-CN"/>
        </w:rPr>
        <w:t>②</w:t>
      </w:r>
      <w:r>
        <w:rPr>
          <w:rFonts w:hint="eastAsia"/>
          <w:color w:val="auto"/>
          <w:highlight w:val="none"/>
        </w:rPr>
        <w:t>如未提供监狱企业相关证明材料的，则其</w:t>
      </w:r>
      <w:r>
        <w:rPr>
          <w:rFonts w:hint="eastAsia"/>
          <w:color w:val="auto"/>
          <w:highlight w:val="none"/>
          <w:lang w:val="en-US" w:eastAsia="zh-CN"/>
        </w:rPr>
        <w:t>评审</w:t>
      </w:r>
      <w:r>
        <w:rPr>
          <w:rFonts w:hint="eastAsia"/>
          <w:color w:val="auto"/>
          <w:highlight w:val="none"/>
        </w:rPr>
        <w:t>中的监狱企业不能享受</w:t>
      </w:r>
      <w:r>
        <w:rPr>
          <w:rFonts w:hint="eastAsia"/>
          <w:color w:val="auto"/>
          <w:highlight w:val="none"/>
          <w:lang w:val="en-US" w:eastAsia="zh-CN"/>
        </w:rPr>
        <w:t>招标</w:t>
      </w:r>
      <w:r>
        <w:rPr>
          <w:rFonts w:hint="eastAsia"/>
          <w:color w:val="auto"/>
          <w:highlight w:val="none"/>
        </w:rPr>
        <w:t>文件规定的价格扣除，但不影响</w:t>
      </w:r>
      <w:r>
        <w:rPr>
          <w:rFonts w:hint="eastAsia"/>
          <w:color w:val="auto"/>
          <w:highlight w:val="none"/>
          <w:lang w:val="en-US" w:eastAsia="zh-CN"/>
        </w:rPr>
        <w:t>投标</w:t>
      </w:r>
      <w:r>
        <w:rPr>
          <w:rFonts w:hint="eastAsia"/>
          <w:color w:val="auto"/>
          <w:highlight w:val="none"/>
        </w:rPr>
        <w:t>文件的有效性。</w:t>
      </w:r>
    </w:p>
    <w:p>
      <w:pPr>
        <w:pStyle w:val="50"/>
        <w:bidi w:val="0"/>
        <w:rPr>
          <w:rFonts w:hint="eastAsia"/>
          <w:color w:val="auto"/>
          <w:highlight w:val="none"/>
        </w:rPr>
      </w:pPr>
      <w:r>
        <w:rPr>
          <w:rFonts w:hint="eastAsia"/>
          <w:color w:val="auto"/>
          <w:highlight w:val="none"/>
          <w:lang w:val="en-US" w:eastAsia="zh-CN"/>
        </w:rPr>
        <w:t>③</w:t>
      </w:r>
      <w:r>
        <w:rPr>
          <w:rFonts w:hint="eastAsia"/>
          <w:color w:val="auto"/>
          <w:highlight w:val="none"/>
        </w:rPr>
        <w:t>非监狱企业</w:t>
      </w:r>
      <w:r>
        <w:rPr>
          <w:rFonts w:hint="eastAsia"/>
          <w:color w:val="auto"/>
          <w:highlight w:val="none"/>
          <w:lang w:val="en-US" w:eastAsia="zh-CN"/>
        </w:rPr>
        <w:t>无需提供证明材料</w:t>
      </w:r>
      <w:r>
        <w:rPr>
          <w:rFonts w:hint="eastAsia"/>
          <w:color w:val="auto"/>
          <w:highlight w:val="none"/>
        </w:rPr>
        <w:t>。</w:t>
      </w:r>
    </w:p>
    <w:p>
      <w:pPr>
        <w:pStyle w:val="25"/>
        <w:bidi w:val="0"/>
        <w:rPr>
          <w:rFonts w:hint="eastAsia"/>
          <w:color w:val="auto"/>
          <w:highlight w:val="none"/>
          <w:lang w:val="en-US" w:eastAsia="zh-CN"/>
        </w:rPr>
      </w:pPr>
      <w:r>
        <w:rPr>
          <w:rFonts w:hint="eastAsia"/>
          <w:color w:val="auto"/>
          <w:highlight w:val="none"/>
          <w:lang w:val="en-US" w:eastAsia="zh-CN"/>
        </w:rPr>
        <w:br w:type="page"/>
      </w:r>
    </w:p>
    <w:p>
      <w:pPr>
        <w:pStyle w:val="48"/>
        <w:numPr>
          <w:ilvl w:val="0"/>
          <w:numId w:val="21"/>
        </w:numPr>
        <w:bidi w:val="0"/>
        <w:ind w:left="0" w:leftChars="0" w:firstLine="0" w:firstLineChars="0"/>
        <w:rPr>
          <w:rFonts w:hint="eastAsia"/>
          <w:color w:val="auto"/>
          <w:highlight w:val="none"/>
          <w:lang w:val="en-US" w:eastAsia="zh-CN"/>
        </w:rPr>
      </w:pPr>
      <w:bookmarkStart w:id="950" w:name="_Toc7140"/>
      <w:bookmarkStart w:id="951" w:name="_Toc7520"/>
      <w:bookmarkStart w:id="952" w:name="_Toc27384"/>
      <w:bookmarkStart w:id="953" w:name="_Toc30301"/>
      <w:r>
        <w:rPr>
          <w:rFonts w:hint="eastAsia"/>
          <w:color w:val="auto"/>
          <w:highlight w:val="none"/>
          <w:lang w:val="en-US" w:eastAsia="zh-CN"/>
        </w:rPr>
        <w:t>残疾人福利性单位声明函(如涉及</w:t>
      </w:r>
      <w:bookmarkEnd w:id="950"/>
      <w:r>
        <w:rPr>
          <w:rFonts w:hint="eastAsia"/>
          <w:color w:val="auto"/>
          <w:highlight w:val="none"/>
          <w:lang w:val="en-US" w:eastAsia="zh-CN"/>
        </w:rPr>
        <w:t>)</w:t>
      </w:r>
      <w:bookmarkEnd w:id="951"/>
      <w:bookmarkEnd w:id="952"/>
      <w:bookmarkEnd w:id="953"/>
    </w:p>
    <w:p>
      <w:pPr>
        <w:pStyle w:val="29"/>
        <w:bidi w:val="0"/>
        <w:rPr>
          <w:rFonts w:hint="eastAsia"/>
          <w:color w:val="auto"/>
          <w:highlight w:val="none"/>
        </w:rPr>
      </w:pPr>
      <w:r>
        <w:rPr>
          <w:rFonts w:hint="eastAsia"/>
          <w:color w:val="auto"/>
          <w:highlight w:val="none"/>
        </w:rPr>
        <w:t>本单位郑重声明，根据《财政部 民政部 中国残疾人联合会关于促进残疾人就业政府采购政策的通知》</w:t>
      </w:r>
      <w:r>
        <w:rPr>
          <w:rFonts w:hint="eastAsia"/>
          <w:color w:val="auto"/>
          <w:highlight w:val="none"/>
          <w:lang w:eastAsia="zh-CN"/>
        </w:rPr>
        <w:t>(</w:t>
      </w:r>
      <w:r>
        <w:rPr>
          <w:rFonts w:hint="eastAsia"/>
          <w:color w:val="auto"/>
          <w:highlight w:val="none"/>
        </w:rPr>
        <w:t>财库〔2017〕141号</w:t>
      </w:r>
      <w:r>
        <w:rPr>
          <w:rFonts w:hint="eastAsia"/>
          <w:color w:val="auto"/>
          <w:highlight w:val="none"/>
          <w:lang w:eastAsia="zh-CN"/>
        </w:rPr>
        <w:t>)</w:t>
      </w:r>
      <w:r>
        <w:rPr>
          <w:rFonts w:hint="eastAsia"/>
          <w:color w:val="auto"/>
          <w:highlight w:val="none"/>
        </w:rPr>
        <w:t>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color w:val="auto"/>
          <w:highlight w:val="none"/>
        </w:rPr>
        <w:t>单位的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color w:val="auto"/>
          <w:highlight w:val="none"/>
        </w:rPr>
        <w:t>项目采购活动提供本单位制造的货物</w:t>
      </w:r>
      <w:r>
        <w:rPr>
          <w:rFonts w:hint="eastAsia"/>
          <w:color w:val="auto"/>
          <w:highlight w:val="none"/>
          <w:lang w:eastAsia="zh-CN"/>
        </w:rPr>
        <w:t>，</w:t>
      </w:r>
      <w:r>
        <w:rPr>
          <w:rFonts w:hint="eastAsia"/>
          <w:color w:val="auto"/>
          <w:highlight w:val="none"/>
        </w:rPr>
        <w:t>或者提供其他残疾人福利性单位制造的货物</w:t>
      </w:r>
      <w:r>
        <w:rPr>
          <w:rFonts w:hint="eastAsia"/>
          <w:color w:val="auto"/>
          <w:highlight w:val="none"/>
          <w:lang w:eastAsia="zh-CN"/>
        </w:rPr>
        <w:t>(</w:t>
      </w:r>
      <w:r>
        <w:rPr>
          <w:rFonts w:hint="eastAsia"/>
          <w:color w:val="auto"/>
          <w:highlight w:val="none"/>
        </w:rPr>
        <w:t>不包括使用非残疾人福利性单位注册商标的货物</w:t>
      </w:r>
      <w:r>
        <w:rPr>
          <w:rFonts w:hint="eastAsia"/>
          <w:color w:val="auto"/>
          <w:highlight w:val="none"/>
          <w:lang w:eastAsia="zh-CN"/>
        </w:rPr>
        <w:t>)</w:t>
      </w:r>
      <w:r>
        <w:rPr>
          <w:rFonts w:hint="eastAsia"/>
          <w:color w:val="auto"/>
          <w:highlight w:val="none"/>
        </w:rPr>
        <w:t>。</w:t>
      </w:r>
    </w:p>
    <w:p>
      <w:pPr>
        <w:pStyle w:val="29"/>
        <w:bidi w:val="0"/>
        <w:rPr>
          <w:rFonts w:hint="eastAsia"/>
          <w:color w:val="auto"/>
          <w:highlight w:val="none"/>
        </w:rPr>
      </w:pPr>
      <w:r>
        <w:rPr>
          <w:rFonts w:hint="eastAsia"/>
          <w:color w:val="auto"/>
          <w:highlight w:val="none"/>
        </w:rPr>
        <w:t>本单位对上述声明的真实性负责。如有虚假，将依法承担相应责任。</w:t>
      </w:r>
    </w:p>
    <w:p>
      <w:pPr>
        <w:pStyle w:val="25"/>
        <w:bidi w:val="0"/>
        <w:rPr>
          <w:rFonts w:hint="eastAsia"/>
          <w:color w:val="auto"/>
          <w:highlight w:val="none"/>
          <w:lang w:val="en-US" w:eastAsia="zh-CN"/>
        </w:rPr>
      </w:pPr>
    </w:p>
    <w:p>
      <w:pPr>
        <w:pStyle w:val="25"/>
        <w:bidi w:val="0"/>
        <w:rPr>
          <w:rFonts w:hint="eastAsia"/>
          <w:color w:val="auto"/>
          <w:highlight w:val="none"/>
        </w:rPr>
      </w:pPr>
    </w:p>
    <w:p>
      <w:pPr>
        <w:pStyle w:val="25"/>
        <w:bidi w:val="0"/>
        <w:rPr>
          <w:rFonts w:hint="eastAsia"/>
          <w:color w:val="auto"/>
          <w:highlight w:val="none"/>
        </w:rPr>
      </w:pPr>
    </w:p>
    <w:p>
      <w:pPr>
        <w:pStyle w:val="25"/>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rPr>
      </w:pPr>
      <w:r>
        <w:rPr>
          <w:rFonts w:hint="eastAsia"/>
          <w:color w:val="auto"/>
          <w:highlight w:val="none"/>
        </w:rPr>
        <w:t>单位名称</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rPr>
        <w:t>盖章</w:t>
      </w:r>
      <w:r>
        <w:rPr>
          <w:rFonts w:hint="eastAsia"/>
          <w:color w:val="auto"/>
          <w:highlight w:val="none"/>
          <w:lang w:eastAsia="zh-CN"/>
        </w:rPr>
        <w:t>)</w:t>
      </w:r>
    </w:p>
    <w:p>
      <w:pPr>
        <w:pStyle w:val="25"/>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lang w:val="en-US" w:eastAsia="zh-CN"/>
        </w:rPr>
      </w:pP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期：</w:t>
      </w:r>
      <w:r>
        <w:rPr>
          <w:rFonts w:hint="eastAsia"/>
          <w:color w:val="auto"/>
          <w:highlight w:val="none"/>
          <w:u w:val="single"/>
          <w:lang w:val="en-US" w:eastAsia="zh-CN"/>
        </w:rPr>
        <w:t xml:space="preserve">             </w:t>
      </w:r>
      <w:r>
        <w:rPr>
          <w:rFonts w:hint="eastAsia"/>
          <w:color w:val="auto"/>
          <w:highlight w:val="none"/>
          <w:lang w:val="en-US" w:eastAsia="zh-CN"/>
        </w:rPr>
        <w:t xml:space="preserve">   </w:t>
      </w:r>
      <w:bookmarkEnd w:id="945"/>
      <w:bookmarkEnd w:id="946"/>
      <w:bookmarkEnd w:id="947"/>
      <w:bookmarkEnd w:id="948"/>
      <w:bookmarkEnd w:id="949"/>
    </w:p>
    <w:p>
      <w:pPr>
        <w:pStyle w:val="50"/>
        <w:bidi w:val="0"/>
        <w:rPr>
          <w:rFonts w:hint="eastAsia"/>
          <w:color w:val="auto"/>
          <w:highlight w:val="none"/>
          <w:lang w:val="en-US" w:eastAsia="zh-CN"/>
        </w:rPr>
      </w:pPr>
    </w:p>
    <w:p>
      <w:pPr>
        <w:pStyle w:val="50"/>
        <w:bidi w:val="0"/>
        <w:rPr>
          <w:rFonts w:hint="eastAsia"/>
          <w:color w:val="auto"/>
          <w:highlight w:val="none"/>
          <w:lang w:val="en-US" w:eastAsia="zh-CN"/>
        </w:rPr>
      </w:pPr>
    </w:p>
    <w:p>
      <w:pPr>
        <w:pStyle w:val="50"/>
        <w:bidi w:val="0"/>
        <w:rPr>
          <w:rFonts w:hint="eastAsia"/>
          <w:color w:val="auto"/>
          <w:highlight w:val="none"/>
        </w:rPr>
      </w:pPr>
      <w:r>
        <w:rPr>
          <w:rFonts w:hint="eastAsia"/>
          <w:color w:val="auto"/>
          <w:highlight w:val="none"/>
          <w:lang w:val="en-US" w:eastAsia="zh-CN"/>
        </w:rPr>
        <w:t>说明：</w:t>
      </w:r>
      <w:r>
        <w:rPr>
          <w:rFonts w:hint="eastAsia"/>
          <w:color w:val="auto"/>
          <w:highlight w:val="none"/>
          <w:lang w:val="en-US" w:eastAsia="zh-CN"/>
        </w:rPr>
        <w:fldChar w:fldCharType="begin"/>
      </w:r>
      <w:r>
        <w:rPr>
          <w:rFonts w:hint="eastAsia"/>
          <w:color w:val="auto"/>
          <w:highlight w:val="none"/>
          <w:lang w:val="en-US" w:eastAsia="zh-CN"/>
        </w:rPr>
        <w:instrText xml:space="preserve"> = 1 \* GB3 \* MERGEFORMAT </w:instrText>
      </w:r>
      <w:r>
        <w:rPr>
          <w:rFonts w:hint="eastAsia"/>
          <w:color w:val="auto"/>
          <w:highlight w:val="none"/>
          <w:lang w:val="en-US" w:eastAsia="zh-CN"/>
        </w:rPr>
        <w:fldChar w:fldCharType="separate"/>
      </w:r>
      <w:r>
        <w:rPr>
          <w:rFonts w:hint="eastAsia"/>
          <w:color w:val="auto"/>
          <w:highlight w:val="none"/>
        </w:rPr>
        <w:t>①</w:t>
      </w:r>
      <w:r>
        <w:rPr>
          <w:rFonts w:hint="eastAsia"/>
          <w:color w:val="auto"/>
          <w:highlight w:val="none"/>
          <w:lang w:val="en-US" w:eastAsia="zh-CN"/>
        </w:rPr>
        <w:fldChar w:fldCharType="end"/>
      </w:r>
      <w:r>
        <w:rPr>
          <w:rFonts w:hint="eastAsia"/>
          <w:color w:val="auto"/>
          <w:highlight w:val="none"/>
        </w:rPr>
        <w:t>如未提供残疾人福利性单位声明函的，则其评审中的残疾人福利性单位不能享受招标文件规定的价格扣除</w:t>
      </w:r>
      <w:r>
        <w:rPr>
          <w:rFonts w:hint="eastAsia"/>
          <w:color w:val="auto"/>
          <w:highlight w:val="none"/>
          <w:lang w:eastAsia="zh-CN"/>
        </w:rPr>
        <w:t>。</w:t>
      </w:r>
      <w:r>
        <w:rPr>
          <w:rFonts w:hint="eastAsia"/>
          <w:color w:val="auto"/>
          <w:highlight w:val="none"/>
          <w:lang w:val="en-US" w:eastAsia="zh-CN"/>
        </w:rPr>
        <w:t>非残疾人福利性单位，不需提供此声明函，</w:t>
      </w:r>
      <w:r>
        <w:rPr>
          <w:rFonts w:hint="eastAsia"/>
          <w:color w:val="auto"/>
          <w:highlight w:val="none"/>
        </w:rPr>
        <w:t>不影响投标文件的有效性。</w:t>
      </w:r>
    </w:p>
    <w:p>
      <w:pPr>
        <w:pStyle w:val="50"/>
        <w:bidi w:val="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2 \* GB3 \* MERGEFORMAT </w:instrText>
      </w:r>
      <w:r>
        <w:rPr>
          <w:rFonts w:hint="eastAsia"/>
          <w:color w:val="auto"/>
          <w:highlight w:val="none"/>
          <w:lang w:val="en-US" w:eastAsia="zh-CN"/>
        </w:rPr>
        <w:fldChar w:fldCharType="separate"/>
      </w:r>
      <w:r>
        <w:rPr>
          <w:rFonts w:hint="eastAsia"/>
          <w:color w:val="auto"/>
          <w:highlight w:val="none"/>
        </w:rPr>
        <w:t>②</w:t>
      </w:r>
      <w:r>
        <w:rPr>
          <w:rFonts w:hint="eastAsia"/>
          <w:color w:val="auto"/>
          <w:highlight w:val="none"/>
          <w:lang w:val="en-US" w:eastAsia="zh-CN"/>
        </w:rPr>
        <w:fldChar w:fldCharType="end"/>
      </w:r>
      <w:r>
        <w:rPr>
          <w:rFonts w:hint="eastAsia"/>
          <w:color w:val="auto"/>
          <w:highlight w:val="none"/>
          <w:lang w:val="en-US" w:eastAsia="zh-CN"/>
        </w:rPr>
        <w:t>投标人参加政府采购活动时，提供虚假残疾人福利性单位声明函的，以提供虚假材料谋取中标处理。</w:t>
      </w:r>
    </w:p>
    <w:p>
      <w:pPr>
        <w:pStyle w:val="25"/>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lang w:val="en-US" w:eastAsia="zh-CN"/>
        </w:rPr>
      </w:pPr>
    </w:p>
    <w:p>
      <w:pPr>
        <w:pStyle w:val="48"/>
        <w:numPr>
          <w:ilvl w:val="0"/>
          <w:numId w:val="21"/>
        </w:numPr>
        <w:bidi w:val="0"/>
        <w:ind w:left="0" w:leftChars="0" w:firstLine="0" w:firstLineChars="0"/>
        <w:rPr>
          <w:rFonts w:hint="eastAsia"/>
          <w:color w:val="auto"/>
          <w:highlight w:val="none"/>
          <w:lang w:val="en-US" w:eastAsia="zh-CN"/>
        </w:rPr>
      </w:pPr>
      <w:bookmarkStart w:id="954" w:name="_Toc16092"/>
      <w:bookmarkStart w:id="955" w:name="_Toc28130"/>
      <w:bookmarkStart w:id="956" w:name="_Toc20002"/>
      <w:bookmarkStart w:id="957" w:name="_Toc18724"/>
      <w:bookmarkStart w:id="958" w:name="_Toc881"/>
      <w:r>
        <w:rPr>
          <w:rFonts w:hint="eastAsia"/>
          <w:color w:val="auto"/>
          <w:highlight w:val="none"/>
          <w:lang w:val="en-US" w:eastAsia="zh-CN"/>
        </w:rPr>
        <w:t>培训及售后服务方案</w:t>
      </w:r>
      <w:bookmarkEnd w:id="954"/>
      <w:bookmarkEnd w:id="955"/>
      <w:bookmarkEnd w:id="956"/>
    </w:p>
    <w:p>
      <w:pPr>
        <w:pStyle w:val="50"/>
        <w:bidi w:val="0"/>
        <w:rPr>
          <w:rFonts w:hint="eastAsia"/>
          <w:color w:val="auto"/>
          <w:highlight w:val="none"/>
          <w:lang w:val="en-US" w:eastAsia="zh-CN"/>
        </w:rPr>
      </w:pPr>
      <w:r>
        <w:rPr>
          <w:rFonts w:hint="eastAsia"/>
          <w:color w:val="auto"/>
          <w:highlight w:val="none"/>
          <w:lang w:val="en-US" w:eastAsia="zh-CN"/>
        </w:rPr>
        <w:t>注：格式自拟。</w:t>
      </w:r>
    </w:p>
    <w:p>
      <w:pPr>
        <w:rPr>
          <w:rFonts w:hint="eastAsia" w:ascii="宋体" w:hAnsi="宋体" w:eastAsia="宋体" w:cstheme="minorBidi"/>
          <w:b/>
          <w:snapToGrid w:val="0"/>
          <w:color w:val="auto"/>
          <w:kern w:val="2"/>
          <w:sz w:val="28"/>
          <w:szCs w:val="24"/>
          <w:highlight w:val="none"/>
          <w:lang w:val="en-US" w:eastAsia="zh-CN" w:bidi="ar-SA"/>
        </w:rPr>
      </w:pPr>
      <w:bookmarkStart w:id="959" w:name="_Toc32188"/>
      <w:r>
        <w:rPr>
          <w:rFonts w:hint="eastAsia" w:ascii="宋体" w:hAnsi="宋体" w:eastAsia="宋体" w:cstheme="minorBidi"/>
          <w:b/>
          <w:snapToGrid w:val="0"/>
          <w:color w:val="auto"/>
          <w:kern w:val="2"/>
          <w:sz w:val="28"/>
          <w:szCs w:val="24"/>
          <w:highlight w:val="none"/>
          <w:lang w:val="en-US" w:eastAsia="zh-CN" w:bidi="ar-SA"/>
        </w:rPr>
        <w:br w:type="page"/>
      </w:r>
    </w:p>
    <w:p>
      <w:pPr>
        <w:pStyle w:val="48"/>
        <w:numPr>
          <w:ilvl w:val="0"/>
          <w:numId w:val="21"/>
        </w:numPr>
        <w:bidi w:val="0"/>
        <w:ind w:left="0" w:leftChars="0" w:firstLine="0" w:firstLineChars="0"/>
        <w:rPr>
          <w:rFonts w:hint="eastAsia" w:ascii="宋体" w:hAnsi="宋体" w:eastAsia="宋体" w:cstheme="minorBidi"/>
          <w:b/>
          <w:snapToGrid w:val="0"/>
          <w:color w:val="auto"/>
          <w:kern w:val="2"/>
          <w:sz w:val="28"/>
          <w:szCs w:val="24"/>
          <w:highlight w:val="none"/>
          <w:lang w:val="en-US" w:eastAsia="zh-CN" w:bidi="ar-SA"/>
        </w:rPr>
      </w:pPr>
      <w:bookmarkStart w:id="960" w:name="_Toc12856"/>
      <w:r>
        <w:rPr>
          <w:rFonts w:hint="eastAsia"/>
          <w:color w:val="auto"/>
          <w:highlight w:val="none"/>
          <w:lang w:val="en-US" w:eastAsia="zh-CN"/>
        </w:rPr>
        <w:t>商品</w:t>
      </w:r>
      <w:r>
        <w:rPr>
          <w:rFonts w:hint="eastAsia" w:ascii="宋体" w:hAnsi="宋体" w:eastAsia="宋体" w:cstheme="minorBidi"/>
          <w:b/>
          <w:snapToGrid w:val="0"/>
          <w:color w:val="auto"/>
          <w:kern w:val="2"/>
          <w:sz w:val="28"/>
          <w:szCs w:val="24"/>
          <w:highlight w:val="none"/>
          <w:lang w:val="en-US" w:eastAsia="zh-CN" w:bidi="ar-SA"/>
        </w:rPr>
        <w:t>包装、快递包装承诺函</w:t>
      </w:r>
      <w:bookmarkEnd w:id="960"/>
    </w:p>
    <w:p>
      <w:pPr>
        <w:rPr>
          <w:rFonts w:hint="eastAsia"/>
          <w:color w:val="auto"/>
          <w:highlight w:val="none"/>
          <w:lang w:val="en-US" w:eastAsia="zh-CN"/>
        </w:rPr>
      </w:pPr>
      <w:r>
        <w:rPr>
          <w:rFonts w:hint="eastAsia"/>
          <w:color w:val="auto"/>
          <w:highlight w:val="none"/>
          <w:lang w:val="en-US" w:eastAsia="zh-CN"/>
        </w:rPr>
        <w:t> </w:t>
      </w:r>
    </w:p>
    <w:p>
      <w:pPr>
        <w:rPr>
          <w:rFonts w:hint="eastAsia"/>
          <w:color w:val="auto"/>
          <w:highlight w:val="none"/>
          <w:lang w:val="en-US" w:eastAsia="zh-CN"/>
        </w:rPr>
      </w:pPr>
      <w:r>
        <w:rPr>
          <w:rFonts w:hint="eastAsia"/>
          <w:color w:val="auto"/>
          <w:highlight w:val="none"/>
        </w:rPr>
        <w:t>四川乾新招投标代理有限公司：</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我公司作为本次采购项目的投标人，根据招标文件要求，现郑重承诺如下：</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我方承诺，根据财政部等三部门联合印发商品包装和快递包装政府采购需求标准(试行)财库办〔2020〕123号文要求，若我方提供的货物、服务、工程涉及商品包装和快递包装的，将按照标准要求执行。</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本公司对上述承诺的内容事项真实性负责。如经查实上述承诺的内容事项存在虚假，我公司愿意接受以提供虚假材料谋取中标追究法律责任。</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color w:val="auto"/>
          <w:highlight w:val="none"/>
          <w:lang w:val="en-US" w:eastAsia="zh-CN"/>
        </w:rPr>
      </w:pPr>
      <w:r>
        <w:rPr>
          <w:rFonts w:hint="eastAsia"/>
          <w:color w:val="auto"/>
          <w:highlight w:val="none"/>
          <w:lang w:val="en-US" w:eastAsia="zh-CN"/>
        </w:rPr>
        <w:t>注：《商品包装政府采购需求标准(试行)》、《快递包装政府采购需求标准(试行)》的标准详见中国政府采购网。</w:t>
      </w:r>
    </w:p>
    <w:p>
      <w:pPr>
        <w:rPr>
          <w:rFonts w:hint="eastAsia"/>
          <w:color w:val="auto"/>
          <w:highlight w:val="none"/>
          <w:lang w:val="en-US" w:eastAsia="zh-CN"/>
        </w:rPr>
      </w:pPr>
      <w:r>
        <w:rPr>
          <w:rFonts w:hint="eastAsia"/>
          <w:color w:val="auto"/>
          <w:highlight w:val="none"/>
          <w:lang w:val="en-US" w:eastAsia="zh-CN"/>
        </w:rPr>
        <w:t> </w:t>
      </w:r>
    </w:p>
    <w:p>
      <w:pPr>
        <w:pStyle w:val="29"/>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(盖章)</w:t>
      </w:r>
    </w:p>
    <w:p>
      <w:pPr>
        <w:pStyle w:val="29"/>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29"/>
        <w:bidi w:val="0"/>
        <w:rPr>
          <w:rFonts w:hint="eastAsia"/>
          <w:color w:val="auto"/>
          <w:highlight w:val="none"/>
          <w:lang w:val="en-US" w:eastAsia="zh-CN"/>
        </w:rPr>
      </w:pPr>
      <w:r>
        <w:rPr>
          <w:rFonts w:hint="eastAsia"/>
          <w:color w:val="auto"/>
          <w:highlight w:val="none"/>
          <w:lang w:val="en-US" w:eastAsia="zh-CN"/>
        </w:rPr>
        <w:t>投标</w:t>
      </w:r>
      <w:r>
        <w:rPr>
          <w:rFonts w:hint="eastAsia"/>
          <w:color w:val="auto"/>
          <w:highlight w:val="none"/>
        </w:rPr>
        <w:t>日期：</w:t>
      </w:r>
      <w:r>
        <w:rPr>
          <w:rFonts w:hint="eastAsia"/>
          <w:color w:val="auto"/>
          <w:highlight w:val="none"/>
          <w:u w:val="single"/>
          <w:lang w:val="en-US" w:eastAsia="zh-CN"/>
        </w:rPr>
        <w:t xml:space="preserve">                  </w:t>
      </w:r>
    </w:p>
    <w:p>
      <w:pPr>
        <w:pStyle w:val="48"/>
        <w:numPr>
          <w:ilvl w:val="0"/>
          <w:numId w:val="21"/>
        </w:numPr>
        <w:bidi w:val="0"/>
        <w:ind w:left="0" w:leftChars="0" w:firstLine="0" w:firstLineChars="0"/>
        <w:rPr>
          <w:rFonts w:hint="eastAsia"/>
          <w:color w:val="auto"/>
          <w:highlight w:val="none"/>
          <w:lang w:val="en-US" w:eastAsia="zh-CN"/>
        </w:rPr>
      </w:pPr>
      <w:bookmarkStart w:id="961" w:name="_Toc29267"/>
      <w:r>
        <w:rPr>
          <w:rFonts w:hint="eastAsia"/>
          <w:color w:val="auto"/>
          <w:highlight w:val="none"/>
          <w:lang w:val="en-US" w:eastAsia="zh-CN"/>
        </w:rPr>
        <w:t>招标代理服务费承诺函</w:t>
      </w:r>
      <w:bookmarkEnd w:id="959"/>
      <w:bookmarkEnd w:id="961"/>
    </w:p>
    <w:p>
      <w:pPr>
        <w:pStyle w:val="25"/>
        <w:bidi w:val="0"/>
        <w:rPr>
          <w:rFonts w:hint="eastAsia"/>
          <w:color w:val="auto"/>
          <w:highlight w:val="none"/>
        </w:rPr>
      </w:pPr>
      <w:r>
        <w:rPr>
          <w:rFonts w:hint="eastAsia"/>
          <w:color w:val="auto"/>
          <w:highlight w:val="none"/>
        </w:rPr>
        <w:t>四川乾新招投标代理有限公司：</w:t>
      </w:r>
    </w:p>
    <w:p>
      <w:pPr>
        <w:pStyle w:val="29"/>
        <w:bidi w:val="0"/>
        <w:rPr>
          <w:rFonts w:hint="eastAsia"/>
          <w:b/>
          <w:bCs/>
          <w:color w:val="auto"/>
          <w:highlight w:val="none"/>
          <w:lang w:val="en-US" w:eastAsia="zh-CN"/>
        </w:rPr>
      </w:pPr>
      <w:r>
        <w:rPr>
          <w:rFonts w:hint="eastAsia"/>
          <w:color w:val="auto"/>
          <w:highlight w:val="none"/>
        </w:rPr>
        <w:t>我公司在贵公司代理的</w:t>
      </w:r>
      <w:r>
        <w:rPr>
          <w:rFonts w:hint="eastAsia"/>
          <w:color w:val="auto"/>
          <w:highlight w:val="none"/>
          <w:u w:val="single"/>
        </w:rPr>
        <w:t xml:space="preserve">                              </w:t>
      </w:r>
      <w:r>
        <w:rPr>
          <w:rFonts w:hint="eastAsia"/>
          <w:color w:val="auto"/>
          <w:highlight w:val="none"/>
        </w:rPr>
        <w:t>项目(项目编号</w:t>
      </w:r>
      <w:r>
        <w:rPr>
          <w:rFonts w:hint="eastAsia"/>
          <w:color w:val="auto"/>
          <w:highlight w:val="none"/>
          <w:u w:val="none"/>
        </w:rPr>
        <w:t>：</w:t>
      </w:r>
      <w:r>
        <w:rPr>
          <w:rFonts w:hint="eastAsia"/>
          <w:color w:val="auto"/>
          <w:highlight w:val="none"/>
          <w:u w:val="single"/>
        </w:rPr>
        <w:t xml:space="preserve">                              </w:t>
      </w:r>
      <w:r>
        <w:rPr>
          <w:rFonts w:hint="eastAsia"/>
          <w:color w:val="auto"/>
          <w:highlight w:val="none"/>
        </w:rPr>
        <w:t>)公开招标中若获中标，我们保证在收到中标通知后2个工作日内按</w:t>
      </w:r>
      <w:r>
        <w:rPr>
          <w:rFonts w:hint="eastAsia"/>
          <w:color w:val="auto"/>
          <w:highlight w:val="none"/>
          <w:lang w:val="zh-CN"/>
        </w:rPr>
        <w:t>招标文件</w:t>
      </w:r>
      <w:r>
        <w:rPr>
          <w:rFonts w:hint="eastAsia"/>
          <w:color w:val="auto"/>
          <w:highlight w:val="none"/>
        </w:rPr>
        <w:t>的规定，以支票、银行汇票、电汇、现金或经贵公司认可的一种方式，向贵公司即四川乾新招投标代理有限公司指定的银行</w:t>
      </w:r>
      <w:r>
        <w:rPr>
          <w:rFonts w:hint="eastAsia"/>
          <w:color w:val="auto"/>
          <w:highlight w:val="none"/>
          <w:lang w:val="en-US" w:eastAsia="zh-CN"/>
        </w:rPr>
        <w:t>账号</w:t>
      </w:r>
      <w:r>
        <w:rPr>
          <w:rFonts w:hint="eastAsia"/>
          <w:color w:val="auto"/>
          <w:highlight w:val="none"/>
        </w:rPr>
        <w:t>，按照</w:t>
      </w:r>
      <w:r>
        <w:rPr>
          <w:rFonts w:hint="eastAsia"/>
          <w:color w:val="auto"/>
          <w:highlight w:val="none"/>
          <w:lang w:val="zh-CN"/>
        </w:rPr>
        <w:t>招标文件中</w:t>
      </w:r>
      <w:r>
        <w:rPr>
          <w:rFonts w:hint="eastAsia"/>
          <w:color w:val="auto"/>
          <w:highlight w:val="none"/>
        </w:rPr>
        <w:t>招标代理服务费收取标准一次性支付招标代理服务费。</w:t>
      </w:r>
      <w:r>
        <w:rPr>
          <w:rFonts w:hint="eastAsia"/>
          <w:b/>
          <w:bCs/>
          <w:color w:val="auto"/>
          <w:highlight w:val="none"/>
          <w:lang w:val="en-US" w:eastAsia="zh-CN"/>
        </w:rPr>
        <w:t>如因我公司自身原因造成取消中标资格或自愿放弃中标资格的，我司已交纳的招标代理服务费不予退还，由此造成的损失由我方自行承担。</w:t>
      </w:r>
    </w:p>
    <w:p>
      <w:pPr>
        <w:pStyle w:val="29"/>
        <w:bidi w:val="0"/>
        <w:rPr>
          <w:rFonts w:hint="eastAsia"/>
          <w:color w:val="auto"/>
          <w:highlight w:val="none"/>
        </w:rPr>
      </w:pPr>
    </w:p>
    <w:p>
      <w:pPr>
        <w:pStyle w:val="29"/>
        <w:bidi w:val="0"/>
        <w:rPr>
          <w:rFonts w:hint="eastAsia"/>
          <w:color w:val="auto"/>
          <w:highlight w:val="none"/>
        </w:rPr>
      </w:pPr>
    </w:p>
    <w:p>
      <w:pPr>
        <w:pStyle w:val="29"/>
        <w:bidi w:val="0"/>
        <w:rPr>
          <w:rFonts w:hint="eastAsia"/>
          <w:color w:val="auto"/>
          <w:highlight w:val="none"/>
        </w:rPr>
      </w:pPr>
      <w:r>
        <w:rPr>
          <w:rFonts w:hint="eastAsia"/>
          <w:color w:val="auto"/>
          <w:highlight w:val="none"/>
        </w:rPr>
        <w:t>特此承诺。</w:t>
      </w:r>
    </w:p>
    <w:p>
      <w:pPr>
        <w:pStyle w:val="25"/>
        <w:bidi w:val="0"/>
        <w:rPr>
          <w:rFonts w:hint="eastAsia"/>
          <w:color w:val="auto"/>
          <w:highlight w:val="none"/>
        </w:rPr>
      </w:pPr>
    </w:p>
    <w:p>
      <w:pPr>
        <w:pStyle w:val="25"/>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eastAsia="zh-CN"/>
        </w:rPr>
        <w:t>法定</w:t>
      </w:r>
      <w:r>
        <w:rPr>
          <w:rFonts w:hint="eastAsia" w:asciiTheme="minorEastAsia" w:hAnsiTheme="minorEastAsia" w:eastAsiaTheme="minorEastAsia" w:cstheme="minorEastAsia"/>
          <w:color w:val="auto"/>
          <w:sz w:val="24"/>
          <w:highlight w:val="none"/>
          <w:lang w:eastAsia="zh-CN"/>
        </w:rPr>
        <w:t>代表人</w:t>
      </w:r>
      <w:r>
        <w:rPr>
          <w:rFonts w:hint="eastAsia"/>
          <w:color w:val="auto"/>
          <w:highlight w:val="none"/>
          <w:lang w:eastAsia="zh-CN"/>
        </w:rPr>
        <w:t>/单位负责人或授权代表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承诺日期：</w:t>
      </w:r>
      <w:r>
        <w:rPr>
          <w:rFonts w:hint="eastAsia" w:asciiTheme="minorEastAsia" w:hAnsiTheme="minorEastAsia" w:eastAsiaTheme="minorEastAsia" w:cstheme="minorEastAsia"/>
          <w:bCs/>
          <w:color w:val="auto"/>
          <w:sz w:val="24"/>
          <w:highlight w:val="none"/>
          <w:u w:val="single"/>
        </w:rPr>
        <w:t xml:space="preserve">                </w:t>
      </w:r>
    </w:p>
    <w:p>
      <w:pPr>
        <w:pStyle w:val="25"/>
        <w:keepNext w:val="0"/>
        <w:keepLines w:val="0"/>
        <w:pageBreakBefore w:val="0"/>
        <w:widowControl w:val="0"/>
        <w:kinsoku/>
        <w:overflow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 xml:space="preserve">                </w:t>
      </w:r>
    </w:p>
    <w:p>
      <w:pPr>
        <w:pStyle w:val="25"/>
        <w:bidi w:val="0"/>
        <w:rPr>
          <w:rFonts w:hint="eastAsia"/>
          <w:color w:val="auto"/>
          <w:highlight w:val="none"/>
        </w:rPr>
      </w:pPr>
    </w:p>
    <w:p>
      <w:pPr>
        <w:pStyle w:val="25"/>
        <w:bidi w:val="0"/>
        <w:rPr>
          <w:rFonts w:hint="eastAsia"/>
          <w:color w:val="auto"/>
          <w:highlight w:val="none"/>
        </w:rPr>
      </w:pPr>
      <w:r>
        <w:rPr>
          <w:rFonts w:hint="eastAsia"/>
          <w:color w:val="auto"/>
          <w:highlight w:val="none"/>
        </w:rPr>
        <w:br w:type="page"/>
      </w:r>
    </w:p>
    <w:bookmarkEnd w:id="957"/>
    <w:bookmarkEnd w:id="958"/>
    <w:p>
      <w:pPr>
        <w:pStyle w:val="24"/>
        <w:numPr>
          <w:ilvl w:val="0"/>
          <w:numId w:val="11"/>
        </w:numPr>
        <w:bidi w:val="0"/>
        <w:rPr>
          <w:rFonts w:hint="eastAsia"/>
          <w:b/>
          <w:color w:val="auto"/>
          <w:w w:val="95"/>
          <w:highlight w:val="none"/>
          <w:lang w:val="en-US" w:eastAsia="zh-CN"/>
        </w:rPr>
      </w:pPr>
      <w:bookmarkStart w:id="962" w:name="_Toc1941"/>
      <w:bookmarkStart w:id="963" w:name="_Toc17786"/>
      <w:bookmarkStart w:id="964" w:name="_Toc16029"/>
      <w:bookmarkStart w:id="965" w:name="_Toc23987"/>
      <w:bookmarkStart w:id="966" w:name="_Toc10576"/>
      <w:bookmarkStart w:id="967" w:name="_Toc24042"/>
      <w:bookmarkStart w:id="968" w:name="_Toc8502"/>
      <w:r>
        <w:rPr>
          <w:rFonts w:hint="eastAsia"/>
          <w:b/>
          <w:color w:val="auto"/>
          <w:w w:val="95"/>
          <w:highlight w:val="none"/>
          <w:lang w:val="en-US" w:eastAsia="zh-CN"/>
        </w:rPr>
        <w:t>投标人和投标产品的资格、资质性</w:t>
      </w:r>
      <w:bookmarkStart w:id="969" w:name="_Toc17884"/>
      <w:bookmarkStart w:id="970" w:name="_Toc307501136"/>
      <w:bookmarkStart w:id="971" w:name="_Toc327196317"/>
      <w:bookmarkStart w:id="972" w:name="_Toc319439931"/>
      <w:bookmarkStart w:id="973" w:name="_Toc307564882"/>
      <w:bookmarkStart w:id="974" w:name="_Toc21759"/>
      <w:r>
        <w:rPr>
          <w:rFonts w:hint="eastAsia"/>
          <w:b/>
          <w:color w:val="auto"/>
          <w:w w:val="95"/>
          <w:highlight w:val="none"/>
          <w:lang w:val="en-US" w:eastAsia="zh-CN"/>
        </w:rPr>
        <w:t>及其他类似效力要求</w:t>
      </w:r>
      <w:bookmarkEnd w:id="962"/>
      <w:bookmarkEnd w:id="963"/>
      <w:bookmarkEnd w:id="964"/>
      <w:bookmarkEnd w:id="965"/>
      <w:bookmarkEnd w:id="969"/>
      <w:bookmarkEnd w:id="970"/>
      <w:bookmarkEnd w:id="971"/>
      <w:bookmarkEnd w:id="972"/>
      <w:bookmarkEnd w:id="973"/>
      <w:bookmarkEnd w:id="974"/>
    </w:p>
    <w:p>
      <w:pPr>
        <w:pStyle w:val="26"/>
        <w:numPr>
          <w:ilvl w:val="1"/>
          <w:numId w:val="11"/>
        </w:numPr>
        <w:bidi w:val="0"/>
        <w:rPr>
          <w:rFonts w:hint="eastAsia"/>
          <w:color w:val="auto"/>
          <w:highlight w:val="none"/>
          <w:lang w:val="zh-CN"/>
        </w:rPr>
      </w:pPr>
      <w:bookmarkStart w:id="975" w:name="_Toc30456"/>
      <w:bookmarkStart w:id="976" w:name="_Toc22556"/>
      <w:r>
        <w:rPr>
          <w:rFonts w:hint="eastAsia"/>
          <w:color w:val="auto"/>
          <w:highlight w:val="none"/>
        </w:rPr>
        <w:t>投标人资格、资质性及其他类似效力要求</w:t>
      </w:r>
      <w:bookmarkEnd w:id="966"/>
      <w:bookmarkEnd w:id="967"/>
      <w:bookmarkEnd w:id="968"/>
      <w:bookmarkEnd w:id="975"/>
      <w:bookmarkEnd w:id="976"/>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rPr>
      </w:pPr>
      <w:bookmarkStart w:id="977" w:name="_Toc14656"/>
      <w:bookmarkStart w:id="978" w:name="_Toc4824"/>
      <w:bookmarkStart w:id="979" w:name="_Toc5268"/>
      <w:bookmarkStart w:id="980" w:name="_Toc18335"/>
      <w:r>
        <w:rPr>
          <w:rFonts w:hint="eastAsia"/>
          <w:color w:val="auto"/>
          <w:highlight w:val="none"/>
          <w:lang w:val="en-US" w:eastAsia="zh-CN"/>
        </w:rPr>
        <w:t>(一)</w:t>
      </w:r>
      <w:r>
        <w:rPr>
          <w:rFonts w:hint="eastAsia"/>
          <w:color w:val="auto"/>
          <w:highlight w:val="none"/>
          <w:lang w:val="zh-CN"/>
        </w:rPr>
        <w:t>符合《中华人民共和国政府采购法》第二十二条规定的条件：</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具有独立承担</w:t>
      </w:r>
      <w:r>
        <w:rPr>
          <w:rFonts w:hint="eastAsia"/>
          <w:color w:val="auto"/>
          <w:highlight w:val="none"/>
        </w:rPr>
        <w:fldChar w:fldCharType="begin"/>
      </w:r>
      <w:r>
        <w:rPr>
          <w:rFonts w:hint="eastAsia"/>
          <w:color w:val="auto"/>
          <w:highlight w:val="none"/>
        </w:rPr>
        <w:instrText xml:space="preserve"> HYPERLINK "http://www.lawtime.cn/info/minfa/mszeren/" \t "_blank" </w:instrText>
      </w:r>
      <w:r>
        <w:rPr>
          <w:rFonts w:hint="eastAsia"/>
          <w:color w:val="auto"/>
          <w:highlight w:val="none"/>
        </w:rPr>
        <w:fldChar w:fldCharType="separate"/>
      </w:r>
      <w:r>
        <w:rPr>
          <w:rFonts w:hint="eastAsia"/>
          <w:color w:val="auto"/>
          <w:highlight w:val="none"/>
        </w:rPr>
        <w:t>民事责任</w:t>
      </w:r>
      <w:r>
        <w:rPr>
          <w:rFonts w:hint="eastAsia"/>
          <w:color w:val="auto"/>
          <w:highlight w:val="none"/>
        </w:rPr>
        <w:fldChar w:fldCharType="end"/>
      </w:r>
      <w:r>
        <w:rPr>
          <w:rFonts w:hint="eastAsia"/>
          <w:color w:val="auto"/>
          <w:highlight w:val="none"/>
        </w:rPr>
        <w:t>的能力；</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具有良好的商业信誉和健全的财务会计制度；</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具有履行合同所必需的设备和专业技术能力；</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4.有依法缴纳税收和</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"http://www.lawtime.cn/info/laodong/shehuibaozhang/" \t "_blank" </w:instrText>
      </w:r>
      <w:r>
        <w:rPr>
          <w:rFonts w:hint="eastAsia"/>
          <w:color w:val="auto"/>
          <w:highlight w:val="none"/>
          <w:lang w:val="en-US" w:eastAsia="zh-CN"/>
        </w:rPr>
        <w:fldChar w:fldCharType="separate"/>
      </w:r>
      <w:r>
        <w:rPr>
          <w:rFonts w:hint="eastAsia"/>
          <w:color w:val="auto"/>
          <w:highlight w:val="none"/>
          <w:lang w:val="en-US" w:eastAsia="zh-CN"/>
        </w:rPr>
        <w:t>社会保障</w:t>
      </w:r>
      <w:r>
        <w:rPr>
          <w:rFonts w:hint="eastAsia"/>
          <w:color w:val="auto"/>
          <w:highlight w:val="none"/>
          <w:lang w:val="en-US" w:eastAsia="zh-CN"/>
        </w:rPr>
        <w:fldChar w:fldCharType="end"/>
      </w:r>
      <w:r>
        <w:rPr>
          <w:rFonts w:hint="eastAsia"/>
          <w:color w:val="auto"/>
          <w:highlight w:val="none"/>
          <w:lang w:val="en-US" w:eastAsia="zh-CN"/>
        </w:rPr>
        <w:t>资金的良好记录；</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5.参加政府采购活动前三年内，在经营活动中没有重大违法记录；</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zh-CN" w:eastAsia="zh-CN"/>
        </w:rPr>
      </w:pPr>
      <w:r>
        <w:rPr>
          <w:rFonts w:hint="eastAsia"/>
          <w:color w:val="auto"/>
          <w:highlight w:val="none"/>
          <w:lang w:val="en-US" w:eastAsia="zh-CN"/>
        </w:rPr>
        <w:t>6.法律、</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"http://www.lawtime.cn/info/sifakaoshi/xingzhengfa/" \t "_blank" </w:instrText>
      </w:r>
      <w:r>
        <w:rPr>
          <w:rFonts w:hint="eastAsia"/>
          <w:color w:val="auto"/>
          <w:highlight w:val="none"/>
          <w:lang w:val="en-US" w:eastAsia="zh-CN"/>
        </w:rPr>
        <w:fldChar w:fldCharType="separate"/>
      </w:r>
      <w:r>
        <w:rPr>
          <w:rFonts w:hint="eastAsia"/>
          <w:color w:val="auto"/>
          <w:highlight w:val="none"/>
          <w:lang w:val="en-US" w:eastAsia="zh-CN"/>
        </w:rPr>
        <w:t>行政法</w:t>
      </w:r>
      <w:r>
        <w:rPr>
          <w:rFonts w:hint="eastAsia"/>
          <w:color w:val="auto"/>
          <w:highlight w:val="none"/>
          <w:lang w:val="en-US" w:eastAsia="zh-CN"/>
        </w:rPr>
        <w:fldChar w:fldCharType="end"/>
      </w:r>
      <w:r>
        <w:rPr>
          <w:rFonts w:hint="eastAsia"/>
          <w:color w:val="auto"/>
          <w:highlight w:val="none"/>
          <w:lang w:val="en-US" w:eastAsia="zh-CN"/>
        </w:rPr>
        <w:t>规规定的其他条件；</w:t>
      </w:r>
    </w:p>
    <w:p>
      <w:pPr>
        <w:pStyle w:val="25"/>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(二)</w:t>
      </w:r>
      <w:r>
        <w:rPr>
          <w:rFonts w:hint="eastAsia"/>
          <w:color w:val="auto"/>
          <w:highlight w:val="none"/>
          <w:lang w:val="zh-CN"/>
        </w:rPr>
        <w:t>本项目的特定资格要求：</w:t>
      </w:r>
      <w:r>
        <w:rPr>
          <w:rFonts w:hint="eastAsia"/>
          <w:color w:val="auto"/>
          <w:highlight w:val="none"/>
          <w:lang w:val="en-US" w:eastAsia="zh-CN"/>
        </w:rPr>
        <w:t>本项目不接受联合体投标。</w:t>
      </w:r>
    </w:p>
    <w:p>
      <w:pPr>
        <w:pStyle w:val="26"/>
        <w:numPr>
          <w:ilvl w:val="1"/>
          <w:numId w:val="11"/>
        </w:numPr>
        <w:bidi w:val="0"/>
        <w:rPr>
          <w:rFonts w:hint="eastAsia"/>
          <w:color w:val="auto"/>
          <w:highlight w:val="none"/>
        </w:rPr>
      </w:pPr>
      <w:bookmarkStart w:id="981" w:name="_Toc25589"/>
      <w:r>
        <w:rPr>
          <w:rFonts w:hint="eastAsia"/>
          <w:color w:val="auto"/>
          <w:highlight w:val="none"/>
        </w:rPr>
        <w:t>投标产品的资格、资质性及其他类似效力要求</w:t>
      </w:r>
      <w:bookmarkEnd w:id="977"/>
      <w:bookmarkEnd w:id="978"/>
      <w:bookmarkEnd w:id="979"/>
      <w:bookmarkEnd w:id="980"/>
      <w:bookmarkEnd w:id="981"/>
    </w:p>
    <w:p>
      <w:pPr>
        <w:pStyle w:val="29"/>
        <w:bidi w:val="0"/>
        <w:rPr>
          <w:rFonts w:hint="eastAsia"/>
          <w:color w:val="auto"/>
          <w:highlight w:val="none"/>
          <w:lang w:val="en-US" w:eastAsia="zh-CN"/>
        </w:rPr>
      </w:pPr>
      <w:r>
        <w:rPr>
          <w:rFonts w:hint="eastAsia"/>
          <w:color w:val="auto"/>
          <w:highlight w:val="none"/>
          <w:lang w:val="en-US" w:eastAsia="zh-CN"/>
        </w:rPr>
        <w:t>无。</w:t>
      </w:r>
    </w:p>
    <w:p>
      <w:pPr>
        <w:pStyle w:val="26"/>
        <w:numPr>
          <w:ilvl w:val="1"/>
          <w:numId w:val="11"/>
        </w:numPr>
        <w:bidi w:val="0"/>
        <w:rPr>
          <w:rFonts w:hint="eastAsia"/>
          <w:color w:val="auto"/>
          <w:highlight w:val="none"/>
          <w:lang w:val="en-US" w:eastAsia="zh-CN"/>
        </w:rPr>
      </w:pPr>
      <w:bookmarkStart w:id="982" w:name="_Toc32025"/>
      <w:bookmarkStart w:id="983" w:name="_Toc3740"/>
      <w:r>
        <w:rPr>
          <w:rFonts w:hint="eastAsia"/>
          <w:color w:val="auto"/>
          <w:highlight w:val="none"/>
          <w:lang w:val="en-US" w:eastAsia="zh-CN"/>
        </w:rPr>
        <w:t>其他类似效力要求</w:t>
      </w:r>
      <w:bookmarkEnd w:id="982"/>
      <w:bookmarkEnd w:id="983"/>
    </w:p>
    <w:p>
      <w:pPr>
        <w:pStyle w:val="38"/>
        <w:numPr>
          <w:ilvl w:val="1"/>
          <w:numId w:val="24"/>
        </w:numPr>
        <w:bidi w:val="0"/>
        <w:rPr>
          <w:rFonts w:hint="eastAsia"/>
          <w:color w:val="auto"/>
          <w:highlight w:val="none"/>
          <w:lang w:val="zh-CN"/>
        </w:rPr>
      </w:pPr>
      <w:r>
        <w:rPr>
          <w:rFonts w:hint="eastAsia"/>
          <w:color w:val="auto"/>
          <w:highlight w:val="none"/>
          <w:lang w:val="zh-CN"/>
        </w:rPr>
        <w:t>投标供应商单位及其现任法定代表人、主要负责人不得具有行贿犯罪记录；</w:t>
      </w:r>
    </w:p>
    <w:p>
      <w:pPr>
        <w:pStyle w:val="38"/>
        <w:numPr>
          <w:ilvl w:val="1"/>
          <w:numId w:val="24"/>
        </w:numPr>
        <w:bidi w:val="0"/>
        <w:rPr>
          <w:rFonts w:hint="eastAsia"/>
          <w:color w:val="auto"/>
          <w:highlight w:val="none"/>
        </w:rPr>
      </w:pPr>
      <w:r>
        <w:rPr>
          <w:rFonts w:hint="eastAsia"/>
          <w:color w:val="auto"/>
          <w:highlight w:val="none"/>
          <w:lang w:val="zh-CN"/>
        </w:rPr>
        <w:t>供应商不得为“信用中国”网站</w:t>
      </w:r>
      <w:r>
        <w:rPr>
          <w:rFonts w:hint="eastAsia"/>
          <w:color w:val="auto"/>
          <w:highlight w:val="none"/>
          <w:lang w:val="zh-CN" w:eastAsia="zh-CN"/>
        </w:rPr>
        <w:t>(</w:t>
      </w:r>
      <w:r>
        <w:rPr>
          <w:rFonts w:hint="eastAsia"/>
          <w:color w:val="auto"/>
          <w:highlight w:val="none"/>
          <w:lang w:val="zh-CN"/>
        </w:rPr>
        <w:t>www.creditchina.gov.cn</w:t>
      </w:r>
      <w:r>
        <w:rPr>
          <w:rFonts w:hint="eastAsia"/>
          <w:color w:val="auto"/>
          <w:highlight w:val="none"/>
          <w:lang w:val="zh-CN" w:eastAsia="zh-CN"/>
        </w:rPr>
        <w:t>)</w:t>
      </w:r>
      <w:r>
        <w:rPr>
          <w:rFonts w:hint="eastAsia"/>
          <w:color w:val="auto"/>
          <w:highlight w:val="none"/>
          <w:lang w:val="zh-CN"/>
        </w:rPr>
        <w:t>中列入失信被执行人和重大税收违法案件当事人名单的供应商，不得为</w:t>
      </w:r>
      <w:r>
        <w:rPr>
          <w:rFonts w:hint="eastAsia"/>
          <w:color w:val="auto"/>
          <w:highlight w:val="none"/>
          <w:lang w:val="zh-CN" w:eastAsia="zh-CN"/>
        </w:rPr>
        <w:t>“中国政府采购网”(</w:t>
      </w:r>
      <w:r>
        <w:rPr>
          <w:rFonts w:hint="eastAsia"/>
          <w:color w:val="auto"/>
          <w:highlight w:val="none"/>
          <w:lang w:val="zh-CN"/>
        </w:rPr>
        <w:t>www.ccgp.gov.cn</w:t>
      </w:r>
      <w:r>
        <w:rPr>
          <w:rFonts w:hint="eastAsia"/>
          <w:color w:val="auto"/>
          <w:highlight w:val="none"/>
          <w:lang w:val="zh-CN" w:eastAsia="zh-CN"/>
        </w:rPr>
        <w:t>)</w:t>
      </w:r>
      <w:r>
        <w:rPr>
          <w:rFonts w:hint="eastAsia"/>
          <w:color w:val="auto"/>
          <w:highlight w:val="none"/>
          <w:lang w:val="zh-CN"/>
        </w:rPr>
        <w:t>政府采购严重违法失信行为记录名单中被财政部门禁止参加政府采购活动的供应商</w:t>
      </w:r>
      <w:r>
        <w:rPr>
          <w:rFonts w:hint="eastAsia"/>
          <w:color w:val="auto"/>
          <w:highlight w:val="none"/>
          <w:lang w:val="zh-CN" w:eastAsia="zh-CN"/>
        </w:rPr>
        <w:t>(</w:t>
      </w:r>
      <w:r>
        <w:rPr>
          <w:rFonts w:hint="eastAsia"/>
          <w:color w:val="auto"/>
          <w:highlight w:val="none"/>
          <w:lang w:val="zh-CN"/>
        </w:rPr>
        <w:t>处罚决定规定的时间和地域范围内</w:t>
      </w:r>
      <w:r>
        <w:rPr>
          <w:rFonts w:hint="eastAsia"/>
          <w:color w:val="auto"/>
          <w:highlight w:val="none"/>
          <w:lang w:val="zh-CN" w:eastAsia="zh-CN"/>
        </w:rPr>
        <w:t>)；</w:t>
      </w:r>
    </w:p>
    <w:p>
      <w:pPr>
        <w:pStyle w:val="38"/>
        <w:numPr>
          <w:ilvl w:val="1"/>
          <w:numId w:val="24"/>
        </w:numPr>
        <w:bidi w:val="0"/>
        <w:rPr>
          <w:rFonts w:hint="eastAsia"/>
          <w:color w:val="auto"/>
          <w:highlight w:val="none"/>
          <w:lang w:val="zh-CN"/>
        </w:rPr>
      </w:pPr>
      <w:r>
        <w:rPr>
          <w:rFonts w:hint="eastAsia"/>
          <w:color w:val="auto"/>
          <w:highlight w:val="none"/>
          <w:lang w:val="zh-CN"/>
        </w:rPr>
        <w:t>投标人代表不是法定代表人</w:t>
      </w:r>
      <w:r>
        <w:rPr>
          <w:rFonts w:hint="eastAsia"/>
          <w:color w:val="auto"/>
          <w:highlight w:val="none"/>
          <w:lang w:val="en-US" w:eastAsia="zh-CN"/>
        </w:rPr>
        <w:t>/单位负责人</w:t>
      </w:r>
      <w:r>
        <w:rPr>
          <w:rFonts w:hint="eastAsia"/>
          <w:color w:val="auto"/>
          <w:highlight w:val="none"/>
          <w:lang w:val="zh-CN"/>
        </w:rPr>
        <w:t>时提供针对本次投标的法定代表人</w:t>
      </w:r>
      <w:r>
        <w:rPr>
          <w:rFonts w:hint="eastAsia"/>
          <w:color w:val="auto"/>
          <w:highlight w:val="none"/>
          <w:lang w:val="en-US" w:eastAsia="zh-CN"/>
        </w:rPr>
        <w:t>/单位负责人</w:t>
      </w:r>
      <w:r>
        <w:rPr>
          <w:rFonts w:hint="eastAsia"/>
          <w:color w:val="auto"/>
          <w:highlight w:val="none"/>
          <w:lang w:val="zh-CN"/>
        </w:rPr>
        <w:t>授权书原件；</w:t>
      </w:r>
    </w:p>
    <w:p>
      <w:pPr>
        <w:pStyle w:val="38"/>
        <w:numPr>
          <w:ilvl w:val="1"/>
          <w:numId w:val="24"/>
        </w:numPr>
        <w:bidi w:val="0"/>
        <w:rPr>
          <w:rFonts w:hint="eastAsia"/>
          <w:color w:val="auto"/>
          <w:highlight w:val="none"/>
          <w:lang w:val="zh-CN"/>
        </w:rPr>
      </w:pPr>
      <w:r>
        <w:rPr>
          <w:rFonts w:hint="eastAsia"/>
          <w:color w:val="auto"/>
          <w:highlight w:val="none"/>
          <w:lang w:val="en-US" w:eastAsia="zh-CN"/>
        </w:rPr>
        <w:t>投标人代表是法定</w:t>
      </w:r>
      <w:r>
        <w:rPr>
          <w:rFonts w:hint="eastAsia"/>
          <w:color w:val="auto"/>
          <w:highlight w:val="none"/>
          <w:lang w:val="zh-CN"/>
        </w:rPr>
        <w:t>代表人</w:t>
      </w:r>
      <w:r>
        <w:rPr>
          <w:rFonts w:hint="eastAsia"/>
          <w:color w:val="auto"/>
          <w:highlight w:val="none"/>
          <w:lang w:val="en-US" w:eastAsia="zh-CN"/>
        </w:rPr>
        <w:t>/单位负责人</w:t>
      </w:r>
      <w:r>
        <w:rPr>
          <w:rFonts w:hint="eastAsia"/>
          <w:color w:val="auto"/>
          <w:highlight w:val="none"/>
          <w:lang w:val="zh-CN"/>
        </w:rPr>
        <w:t>时，</w:t>
      </w:r>
      <w:r>
        <w:rPr>
          <w:rFonts w:hint="eastAsia"/>
          <w:color w:val="auto"/>
          <w:highlight w:val="none"/>
          <w:lang w:val="en-US" w:eastAsia="zh-CN"/>
        </w:rPr>
        <w:t>提供法定代表人/单位负责人证明书原件。</w:t>
      </w:r>
    </w:p>
    <w:p>
      <w:pPr>
        <w:pStyle w:val="29"/>
        <w:bidi w:val="0"/>
        <w:rPr>
          <w:rFonts w:hint="eastAsia"/>
          <w:b/>
          <w:bCs/>
          <w:color w:val="auto"/>
          <w:highlight w:val="none"/>
        </w:rPr>
      </w:pPr>
      <w:bookmarkStart w:id="984" w:name="_Toc24888"/>
      <w:r>
        <w:rPr>
          <w:rFonts w:hint="eastAsia"/>
          <w:b/>
          <w:bCs/>
          <w:color w:val="auto"/>
          <w:highlight w:val="none"/>
        </w:rPr>
        <w:t>注：供应商在前三年政府采购合同履约过程中及其他经营活动履约过程中未依法履约被有关部门处理的，本项目不认定其具有良好的商业信誉。若虚假响应，取消中标资格。</w:t>
      </w:r>
    </w:p>
    <w:p>
      <w:pPr>
        <w:pStyle w:val="29"/>
        <w:bidi w:val="0"/>
        <w:rPr>
          <w:rFonts w:hint="eastAsia"/>
          <w:b/>
          <w:bCs/>
          <w:color w:val="auto"/>
          <w:highlight w:val="none"/>
        </w:rPr>
      </w:pPr>
      <w:r>
        <w:rPr>
          <w:rFonts w:hint="eastAsia"/>
          <w:b/>
          <w:bCs/>
          <w:color w:val="auto"/>
          <w:highlight w:val="none"/>
        </w:rPr>
        <w:t>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pPr>
        <w:pStyle w:val="50"/>
        <w:bidi w:val="0"/>
        <w:rPr>
          <w:rFonts w:hint="eastAsia"/>
          <w:color w:val="auto"/>
          <w:highlight w:val="none"/>
        </w:rPr>
      </w:pPr>
      <w:r>
        <w:rPr>
          <w:rFonts w:hint="eastAsia"/>
          <w:color w:val="auto"/>
          <w:highlight w:val="none"/>
        </w:rPr>
        <w:t>重大违法记录中的较大数额罚款的具体金额标准</w:t>
      </w:r>
      <w:r>
        <w:rPr>
          <w:rFonts w:hint="eastAsia"/>
          <w:color w:val="auto"/>
          <w:highlight w:val="none"/>
          <w:lang w:val="en-US" w:eastAsia="zh-CN"/>
        </w:rPr>
        <w:t>及范围</w:t>
      </w:r>
      <w:r>
        <w:rPr>
          <w:rFonts w:hint="eastAsia"/>
          <w:color w:val="auto"/>
          <w:highlight w:val="none"/>
        </w:rPr>
        <w:t>是：若采购项目所属行业行政主管部门对较大数额罚款金额标准有明文规定的，以所属行业行政主管部门规定的较大数额罚款金额标准</w:t>
      </w:r>
      <w:r>
        <w:rPr>
          <w:rFonts w:hint="eastAsia"/>
          <w:color w:val="auto"/>
          <w:highlight w:val="none"/>
          <w:lang w:val="en-US" w:eastAsia="zh-CN"/>
        </w:rPr>
        <w:t>为准</w:t>
      </w:r>
      <w:r>
        <w:rPr>
          <w:rFonts w:hint="eastAsia"/>
          <w:color w:val="auto"/>
          <w:highlight w:val="none"/>
        </w:rPr>
        <w:t>；若采购项目所属行业行政主管部门对较大数额罚款金额标准未明文规定的，以《四川省行政处罚听证程序规定》</w:t>
      </w:r>
      <w:r>
        <w:rPr>
          <w:rFonts w:hint="eastAsia"/>
          <w:color w:val="auto"/>
          <w:highlight w:val="none"/>
          <w:lang w:eastAsia="zh-CN"/>
        </w:rPr>
        <w:t>(</w:t>
      </w:r>
      <w:r>
        <w:rPr>
          <w:rFonts w:hint="eastAsia"/>
          <w:color w:val="auto"/>
          <w:highlight w:val="none"/>
        </w:rPr>
        <w:t>四川省人民政府令第317号</w:t>
      </w:r>
      <w:r>
        <w:rPr>
          <w:rFonts w:hint="eastAsia"/>
          <w:color w:val="auto"/>
          <w:highlight w:val="none"/>
          <w:lang w:eastAsia="zh-CN"/>
        </w:rPr>
        <w:t>)</w:t>
      </w:r>
      <w:r>
        <w:rPr>
          <w:rFonts w:hint="eastAsia"/>
          <w:color w:val="auto"/>
          <w:highlight w:val="none"/>
        </w:rPr>
        <w:t>规定的行政处罚罚款听证标准金额</w:t>
      </w:r>
      <w:r>
        <w:rPr>
          <w:rFonts w:hint="eastAsia"/>
          <w:color w:val="auto"/>
          <w:highlight w:val="none"/>
          <w:lang w:val="en-US" w:eastAsia="zh-CN"/>
        </w:rPr>
        <w:t>为准</w:t>
      </w:r>
      <w:r>
        <w:rPr>
          <w:rFonts w:hint="eastAsia"/>
          <w:color w:val="auto"/>
          <w:highlight w:val="none"/>
        </w:rPr>
        <w:t>。</w:t>
      </w:r>
    </w:p>
    <w:p>
      <w:pPr>
        <w:pStyle w:val="24"/>
        <w:numPr>
          <w:ilvl w:val="0"/>
          <w:numId w:val="11"/>
        </w:numPr>
        <w:bidi w:val="0"/>
        <w:rPr>
          <w:rFonts w:hint="eastAsia"/>
          <w:color w:val="auto"/>
          <w:highlight w:val="none"/>
          <w:lang w:val="en-US" w:eastAsia="zh-CN"/>
        </w:rPr>
      </w:pPr>
      <w:r>
        <w:rPr>
          <w:rFonts w:hint="eastAsia"/>
          <w:color w:val="auto"/>
          <w:highlight w:val="none"/>
        </w:rPr>
        <w:br w:type="page"/>
      </w:r>
      <w:bookmarkEnd w:id="984"/>
      <w:bookmarkStart w:id="985" w:name="_Toc18196"/>
      <w:bookmarkStart w:id="986" w:name="_Toc22998"/>
      <w:bookmarkStart w:id="987" w:name="_Toc27281"/>
      <w:r>
        <w:rPr>
          <w:rFonts w:hint="eastAsia"/>
          <w:color w:val="auto"/>
          <w:highlight w:val="none"/>
          <w:lang w:val="en-US" w:eastAsia="zh-CN"/>
        </w:rPr>
        <w:t>资格性审查</w:t>
      </w:r>
      <w:bookmarkEnd w:id="985"/>
      <w:r>
        <w:rPr>
          <w:rFonts w:hint="eastAsia"/>
          <w:color w:val="auto"/>
          <w:highlight w:val="none"/>
          <w:lang w:val="en-US" w:eastAsia="zh-CN"/>
        </w:rPr>
        <w:t>内容</w:t>
      </w:r>
      <w:bookmarkEnd w:id="986"/>
      <w:bookmarkEnd w:id="987"/>
    </w:p>
    <w:p>
      <w:pPr>
        <w:pStyle w:val="26"/>
        <w:numPr>
          <w:ilvl w:val="1"/>
          <w:numId w:val="11"/>
        </w:numPr>
        <w:bidi w:val="0"/>
        <w:rPr>
          <w:rFonts w:hint="eastAsia"/>
          <w:color w:val="auto"/>
          <w:highlight w:val="none"/>
        </w:rPr>
      </w:pPr>
      <w:bookmarkStart w:id="988" w:name="_Toc17175"/>
      <w:bookmarkStart w:id="989" w:name="_Toc28265"/>
      <w:bookmarkStart w:id="990" w:name="_Toc30344"/>
      <w:bookmarkStart w:id="991" w:name="_Toc17621"/>
      <w:bookmarkStart w:id="992" w:name="_Toc3107"/>
      <w:bookmarkStart w:id="993" w:name="_Toc30506"/>
      <w:bookmarkStart w:id="994" w:name="_Toc10631"/>
      <w:bookmarkStart w:id="995" w:name="_Toc20678"/>
      <w:bookmarkStart w:id="996" w:name="_Toc141"/>
      <w:bookmarkStart w:id="997" w:name="_Toc32482"/>
      <w:r>
        <w:rPr>
          <w:rFonts w:hint="eastAsia"/>
          <w:color w:val="auto"/>
          <w:highlight w:val="none"/>
        </w:rPr>
        <w:t>应当提供的投标人</w:t>
      </w:r>
      <w:r>
        <w:rPr>
          <w:rFonts w:hint="eastAsia"/>
          <w:color w:val="auto"/>
          <w:highlight w:val="none"/>
          <w:lang w:eastAsia="zh-CN"/>
        </w:rPr>
        <w:t>及投标产品</w:t>
      </w:r>
      <w:r>
        <w:rPr>
          <w:rFonts w:hint="eastAsia"/>
          <w:color w:val="auto"/>
          <w:highlight w:val="none"/>
        </w:rPr>
        <w:t>资格、资质性及其他类似效力要求的相关证明材料</w:t>
      </w:r>
      <w:bookmarkEnd w:id="988"/>
      <w:bookmarkEnd w:id="989"/>
      <w:bookmarkEnd w:id="990"/>
      <w:bookmarkEnd w:id="991"/>
      <w:bookmarkEnd w:id="992"/>
      <w:bookmarkEnd w:id="993"/>
    </w:p>
    <w:p>
      <w:pPr>
        <w:pStyle w:val="38"/>
        <w:numPr>
          <w:ilvl w:val="1"/>
          <w:numId w:val="25"/>
        </w:numPr>
        <w:bidi w:val="0"/>
        <w:rPr>
          <w:rFonts w:hint="eastAsia"/>
          <w:b/>
          <w:bCs/>
          <w:color w:val="auto"/>
          <w:highlight w:val="none"/>
        </w:rPr>
      </w:pPr>
      <w:r>
        <w:rPr>
          <w:rFonts w:hint="eastAsia"/>
          <w:b/>
          <w:bCs/>
          <w:color w:val="auto"/>
          <w:highlight w:val="none"/>
          <w:lang w:val="en-US" w:eastAsia="zh-CN"/>
        </w:rPr>
        <w:t>投标人</w:t>
      </w:r>
      <w:r>
        <w:rPr>
          <w:rFonts w:hint="eastAsia"/>
          <w:b/>
          <w:bCs/>
          <w:color w:val="auto"/>
          <w:highlight w:val="none"/>
        </w:rPr>
        <w:t>具有独立承担民事责任的能力</w:t>
      </w:r>
      <w:r>
        <w:rPr>
          <w:rFonts w:hint="eastAsia"/>
          <w:b/>
          <w:bCs/>
          <w:color w:val="auto"/>
          <w:highlight w:val="none"/>
          <w:lang w:val="en-US" w:eastAsia="zh-CN"/>
        </w:rPr>
        <w:t>的证明材料；</w:t>
      </w:r>
    </w:p>
    <w:p>
      <w:pPr>
        <w:pStyle w:val="29"/>
        <w:bidi w:val="0"/>
        <w:rPr>
          <w:rFonts w:hint="eastAsia"/>
          <w:color w:val="auto"/>
          <w:highlight w:val="none"/>
          <w:lang w:eastAsia="zh-CN"/>
        </w:rPr>
      </w:pPr>
      <w:r>
        <w:rPr>
          <w:rFonts w:hint="eastAsia"/>
          <w:color w:val="auto"/>
          <w:highlight w:val="none"/>
          <w:lang w:val="en-US" w:eastAsia="zh-CN"/>
        </w:rPr>
        <w:t>1.投标人</w:t>
      </w:r>
      <w:r>
        <w:rPr>
          <w:rFonts w:hint="eastAsia"/>
          <w:color w:val="auto"/>
          <w:highlight w:val="none"/>
        </w:rPr>
        <w:t>若为企业法人：提供“营业执照”；未换证的提供“营业执照、税务登记证、组织机构代码证”；</w:t>
      </w:r>
      <w:r>
        <w:rPr>
          <w:rFonts w:hint="eastAsia"/>
          <w:color w:val="auto"/>
          <w:highlight w:val="none"/>
          <w:lang w:val="en-US" w:eastAsia="zh-CN"/>
        </w:rPr>
        <w:t>2.</w:t>
      </w:r>
      <w:r>
        <w:rPr>
          <w:rFonts w:hint="eastAsia"/>
          <w:color w:val="auto"/>
          <w:highlight w:val="none"/>
        </w:rPr>
        <w:t>若为事业法人：提供“统一社会信用代码法人登记证书”；未换证的提交“事业法人登记证书、组织机构代码证”；</w:t>
      </w:r>
      <w:r>
        <w:rPr>
          <w:rFonts w:hint="eastAsia"/>
          <w:color w:val="auto"/>
          <w:highlight w:val="none"/>
          <w:lang w:val="en-US" w:eastAsia="zh-CN"/>
        </w:rPr>
        <w:t>3.</w:t>
      </w:r>
      <w:r>
        <w:rPr>
          <w:rFonts w:hint="eastAsia"/>
          <w:color w:val="auto"/>
          <w:highlight w:val="none"/>
        </w:rPr>
        <w:t>若为其他组织：提供“对应主管部门颁发的准许执业证明文件或营业执照”；</w:t>
      </w:r>
      <w:r>
        <w:rPr>
          <w:rFonts w:hint="eastAsia"/>
          <w:color w:val="auto"/>
          <w:highlight w:val="none"/>
          <w:lang w:val="en-US" w:eastAsia="zh-CN"/>
        </w:rPr>
        <w:t>4.</w:t>
      </w:r>
      <w:r>
        <w:rPr>
          <w:rFonts w:hint="eastAsia"/>
          <w:color w:val="auto"/>
          <w:highlight w:val="none"/>
        </w:rPr>
        <w:t>若为自然人：提供“身份证明材料”</w:t>
      </w:r>
      <w:r>
        <w:rPr>
          <w:rFonts w:hint="eastAsia"/>
          <w:color w:val="auto"/>
          <w:highlight w:val="none"/>
          <w:lang w:eastAsia="zh-CN"/>
        </w:rPr>
        <w:t>。</w:t>
      </w:r>
    </w:p>
    <w:p>
      <w:pPr>
        <w:pStyle w:val="50"/>
        <w:bidi w:val="0"/>
        <w:rPr>
          <w:rFonts w:hint="eastAsia"/>
          <w:color w:val="auto"/>
          <w:highlight w:val="none"/>
          <w:lang w:val="en-US" w:eastAsia="zh-CN"/>
        </w:rPr>
      </w:pPr>
      <w:r>
        <w:rPr>
          <w:rFonts w:hint="eastAsia"/>
          <w:color w:val="auto"/>
          <w:highlight w:val="none"/>
          <w:lang w:val="en-US" w:eastAsia="zh-CN"/>
        </w:rPr>
        <w:t>注：1.以上证明材料应满足此条要求①发证机关有年检要求的，应按规定通过年检；②在有效期内；③复印件加盖投标人公章；</w:t>
      </w:r>
    </w:p>
    <w:p>
      <w:pPr>
        <w:pStyle w:val="50"/>
        <w:bidi w:val="0"/>
        <w:rPr>
          <w:rFonts w:hint="eastAsia"/>
          <w:color w:val="auto"/>
          <w:highlight w:val="none"/>
          <w:lang w:val="en-US" w:eastAsia="zh-CN"/>
        </w:rPr>
      </w:pPr>
      <w:r>
        <w:rPr>
          <w:rFonts w:hint="eastAsia"/>
          <w:color w:val="auto"/>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50"/>
        <w:bidi w:val="0"/>
        <w:rPr>
          <w:color w:val="auto"/>
          <w:highlight w:val="none"/>
        </w:rPr>
      </w:pPr>
      <w:r>
        <w:rPr>
          <w:rFonts w:hint="eastAsia"/>
          <w:color w:val="auto"/>
          <w:highlight w:val="none"/>
          <w:lang w:val="en-US" w:eastAsia="zh-CN"/>
        </w:rPr>
        <w:t>3.</w:t>
      </w:r>
      <w:r>
        <w:rPr>
          <w:color w:val="auto"/>
          <w:highlight w:val="none"/>
        </w:rPr>
        <w:t>根据国务院办公厅关于加快推进“多证合一”改革的指导意见</w:t>
      </w:r>
      <w:r>
        <w:rPr>
          <w:rFonts w:hint="eastAsia"/>
          <w:color w:val="auto"/>
          <w:highlight w:val="none"/>
          <w:lang w:eastAsia="zh-CN"/>
        </w:rPr>
        <w:t>(</w:t>
      </w:r>
      <w:r>
        <w:rPr>
          <w:color w:val="auto"/>
          <w:highlight w:val="none"/>
        </w:rPr>
        <w:t>国办发</w:t>
      </w:r>
      <w:r>
        <w:rPr>
          <w:rFonts w:hint="eastAsia"/>
          <w:color w:val="auto"/>
          <w:highlight w:val="none"/>
          <w:lang w:val="en-US" w:eastAsia="zh-CN"/>
        </w:rPr>
        <w:t>〔</w:t>
      </w:r>
      <w:r>
        <w:rPr>
          <w:color w:val="auto"/>
          <w:highlight w:val="none"/>
        </w:rPr>
        <w:t>2017</w:t>
      </w:r>
      <w:r>
        <w:rPr>
          <w:rFonts w:hint="eastAsia"/>
          <w:color w:val="auto"/>
          <w:highlight w:val="none"/>
          <w:lang w:val="en-US" w:eastAsia="zh-CN"/>
        </w:rPr>
        <w:t>〕</w:t>
      </w:r>
      <w:r>
        <w:rPr>
          <w:color w:val="auto"/>
          <w:highlight w:val="none"/>
        </w:rPr>
        <w:t>41号</w:t>
      </w:r>
      <w:r>
        <w:rPr>
          <w:rFonts w:hint="eastAsia"/>
          <w:color w:val="auto"/>
          <w:highlight w:val="none"/>
          <w:lang w:eastAsia="zh-CN"/>
        </w:rPr>
        <w:t>)</w:t>
      </w:r>
      <w:r>
        <w:rPr>
          <w:color w:val="auto"/>
          <w:highlight w:val="none"/>
        </w:rPr>
        <w:t>等政策要求，若资格要求涉及的登记、备案等有关事项和各类证照已实行多证合一</w:t>
      </w:r>
      <w:r>
        <w:rPr>
          <w:rFonts w:hint="eastAsia"/>
          <w:color w:val="auto"/>
          <w:highlight w:val="none"/>
          <w:lang w:eastAsia="zh-CN"/>
        </w:rPr>
        <w:t>提供多证合一证照复印件</w:t>
      </w:r>
      <w:r>
        <w:rPr>
          <w:color w:val="auto"/>
          <w:highlight w:val="none"/>
        </w:rPr>
        <w:t>。</w:t>
      </w:r>
    </w:p>
    <w:p>
      <w:pPr>
        <w:pStyle w:val="38"/>
        <w:numPr>
          <w:ilvl w:val="1"/>
          <w:numId w:val="25"/>
        </w:numPr>
        <w:bidi w:val="0"/>
        <w:rPr>
          <w:rFonts w:hint="eastAsia"/>
          <w:b/>
          <w:bCs/>
          <w:color w:val="auto"/>
          <w:highlight w:val="none"/>
        </w:rPr>
      </w:pPr>
      <w:r>
        <w:rPr>
          <w:rFonts w:hint="eastAsia"/>
          <w:b/>
          <w:bCs/>
          <w:color w:val="auto"/>
          <w:highlight w:val="none"/>
          <w:lang w:val="en-US" w:eastAsia="zh-CN"/>
        </w:rPr>
        <w:t>投标人具有良好的商业信誉和健全的财务会计制度的证明材料；</w:t>
      </w:r>
    </w:p>
    <w:p>
      <w:pPr>
        <w:pStyle w:val="29"/>
        <w:bidi w:val="0"/>
        <w:rPr>
          <w:rFonts w:hint="eastAsia"/>
          <w:color w:val="auto"/>
          <w:highlight w:val="none"/>
          <w:lang w:val="en-US" w:eastAsia="zh-CN"/>
        </w:rPr>
      </w:pPr>
      <w:r>
        <w:rPr>
          <w:rFonts w:hint="eastAsia"/>
          <w:color w:val="auto"/>
          <w:highlight w:val="none"/>
          <w:lang w:val="en-US" w:eastAsia="zh-CN"/>
        </w:rPr>
        <w:t>1.投标人</w:t>
      </w:r>
      <w:r>
        <w:rPr>
          <w:rFonts w:hint="eastAsia"/>
          <w:color w:val="auto"/>
          <w:highlight w:val="none"/>
        </w:rPr>
        <w:t>具</w:t>
      </w:r>
      <w:r>
        <w:rPr>
          <w:rFonts w:hint="eastAsia"/>
          <w:color w:val="auto"/>
          <w:highlight w:val="none"/>
          <w:lang w:val="en-US" w:eastAsia="zh-CN"/>
        </w:rPr>
        <w:t>有</w:t>
      </w:r>
      <w:r>
        <w:rPr>
          <w:rFonts w:hint="eastAsia"/>
          <w:color w:val="auto"/>
          <w:highlight w:val="none"/>
        </w:rPr>
        <w:t>良好商业信誉的证明材料</w:t>
      </w:r>
      <w:r>
        <w:rPr>
          <w:rFonts w:hint="eastAsia"/>
          <w:color w:val="auto"/>
          <w:highlight w:val="none"/>
          <w:lang w:eastAsia="zh-CN"/>
        </w:rPr>
        <w:t>；</w:t>
      </w:r>
    </w:p>
    <w:p>
      <w:pPr>
        <w:pStyle w:val="29"/>
        <w:bidi w:val="0"/>
        <w:rPr>
          <w:rFonts w:hint="eastAsia"/>
          <w:color w:val="auto"/>
          <w:highlight w:val="none"/>
          <w:lang w:eastAsia="zh-CN"/>
        </w:rPr>
      </w:pPr>
      <w:r>
        <w:rPr>
          <w:rFonts w:hint="eastAsia"/>
          <w:color w:val="auto"/>
          <w:highlight w:val="none"/>
          <w:lang w:val="en-US" w:eastAsia="zh-CN"/>
        </w:rPr>
        <w:t>提供</w:t>
      </w:r>
      <w:r>
        <w:rPr>
          <w:rFonts w:hint="eastAsia"/>
          <w:color w:val="auto"/>
          <w:highlight w:val="none"/>
        </w:rPr>
        <w:t>具</w:t>
      </w:r>
      <w:r>
        <w:rPr>
          <w:rFonts w:hint="eastAsia"/>
          <w:color w:val="auto"/>
          <w:highlight w:val="none"/>
          <w:lang w:val="en-US" w:eastAsia="zh-CN"/>
        </w:rPr>
        <w:t>有</w:t>
      </w:r>
      <w:r>
        <w:rPr>
          <w:rFonts w:hint="eastAsia"/>
          <w:color w:val="auto"/>
          <w:highlight w:val="none"/>
        </w:rPr>
        <w:t>良好</w:t>
      </w:r>
      <w:r>
        <w:rPr>
          <w:rFonts w:hint="eastAsia"/>
          <w:color w:val="auto"/>
          <w:highlight w:val="none"/>
          <w:lang w:val="en-US" w:eastAsia="zh-CN"/>
        </w:rPr>
        <w:t>的</w:t>
      </w:r>
      <w:r>
        <w:rPr>
          <w:rFonts w:hint="eastAsia"/>
          <w:color w:val="auto"/>
          <w:highlight w:val="none"/>
        </w:rPr>
        <w:t>商业信誉</w:t>
      </w:r>
      <w:r>
        <w:rPr>
          <w:rFonts w:hint="eastAsia"/>
          <w:color w:val="auto"/>
          <w:highlight w:val="none"/>
          <w:lang w:val="en-US" w:eastAsia="zh-CN"/>
        </w:rPr>
        <w:t>的</w:t>
      </w:r>
      <w:r>
        <w:rPr>
          <w:rFonts w:hint="eastAsia"/>
          <w:color w:val="auto"/>
          <w:highlight w:val="none"/>
        </w:rPr>
        <w:t>承诺函</w:t>
      </w:r>
      <w:r>
        <w:rPr>
          <w:rFonts w:hint="eastAsia"/>
          <w:color w:val="auto"/>
          <w:highlight w:val="none"/>
          <w:lang w:eastAsia="zh-CN"/>
        </w:rPr>
        <w:t>。</w:t>
      </w:r>
    </w:p>
    <w:p>
      <w:pPr>
        <w:pStyle w:val="29"/>
        <w:bidi w:val="0"/>
        <w:rPr>
          <w:rFonts w:hint="eastAsia"/>
          <w:b/>
          <w:bCs/>
          <w:color w:val="auto"/>
          <w:highlight w:val="none"/>
          <w:lang w:val="en-US" w:eastAsia="zh-CN"/>
        </w:rPr>
      </w:pPr>
      <w:r>
        <w:rPr>
          <w:rFonts w:hint="eastAsia"/>
          <w:b/>
          <w:bCs/>
          <w:color w:val="auto"/>
          <w:highlight w:val="none"/>
          <w:lang w:val="en-US" w:eastAsia="zh-CN"/>
        </w:rPr>
        <w:t>注：投标人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9"/>
        <w:bidi w:val="0"/>
        <w:rPr>
          <w:rFonts w:hint="eastAsia"/>
          <w:color w:val="auto"/>
          <w:highlight w:val="none"/>
          <w:lang w:val="en-US" w:eastAsia="zh-CN"/>
        </w:rPr>
      </w:pPr>
      <w:r>
        <w:rPr>
          <w:rFonts w:hint="eastAsia"/>
          <w:color w:val="auto"/>
          <w:highlight w:val="none"/>
          <w:lang w:val="en-US" w:eastAsia="zh-CN"/>
        </w:rPr>
        <w:t>2.投标人具有健全的财务会计制度的证明材料；</w:t>
      </w:r>
    </w:p>
    <w:p>
      <w:pPr>
        <w:pStyle w:val="29"/>
        <w:bidi w:val="0"/>
        <w:rPr>
          <w:rFonts w:hint="default"/>
          <w:color w:val="auto"/>
          <w:highlight w:val="none"/>
          <w:lang w:val="en-US" w:eastAsia="zh-CN"/>
        </w:rPr>
      </w:pPr>
      <w:r>
        <w:rPr>
          <w:rFonts w:hint="eastAsia"/>
          <w:color w:val="auto"/>
          <w:highlight w:val="none"/>
          <w:lang w:val="en-US" w:eastAsia="zh-CN"/>
        </w:rPr>
        <w:t>(1)投标人提供2019年度或2020年度经过会计师事务所审计的财务报告复印件(经审计的有效财务报告应包括报告及报告中所附的完整内容，并由注册会计师签名、盖章以及会计师事务所盖章)；</w:t>
      </w:r>
    </w:p>
    <w:p>
      <w:pPr>
        <w:pStyle w:val="29"/>
        <w:bidi w:val="0"/>
        <w:rPr>
          <w:rFonts w:hint="eastAsia"/>
          <w:color w:val="auto"/>
          <w:highlight w:val="none"/>
          <w:lang w:val="en-US" w:eastAsia="zh-CN"/>
        </w:rPr>
      </w:pPr>
      <w:r>
        <w:rPr>
          <w:rFonts w:hint="eastAsia"/>
          <w:color w:val="auto"/>
          <w:highlight w:val="none"/>
          <w:lang w:val="en-US" w:eastAsia="zh-CN"/>
        </w:rPr>
        <w:t>(2)投标人提供2020年度投标人内部的财务报表复印件(至少包含资产负债表)；</w:t>
      </w:r>
    </w:p>
    <w:p>
      <w:pPr>
        <w:pStyle w:val="29"/>
        <w:bidi w:val="0"/>
        <w:rPr>
          <w:rFonts w:hint="eastAsia"/>
          <w:color w:val="auto"/>
          <w:highlight w:val="none"/>
          <w:lang w:val="en-US" w:eastAsia="zh-CN"/>
        </w:rPr>
      </w:pPr>
      <w:r>
        <w:rPr>
          <w:rFonts w:hint="eastAsia"/>
          <w:color w:val="auto"/>
          <w:highlight w:val="none"/>
          <w:lang w:val="en-US" w:eastAsia="zh-CN"/>
        </w:rPr>
        <w:t>(3)投标人提供投标文件递交截止日前一年内银行为其出具的资信证明复印件；</w:t>
      </w:r>
    </w:p>
    <w:p>
      <w:pPr>
        <w:pStyle w:val="29"/>
        <w:bidi w:val="0"/>
        <w:rPr>
          <w:rFonts w:hint="eastAsia"/>
          <w:color w:val="auto"/>
          <w:highlight w:val="none"/>
          <w:lang w:val="en-US" w:eastAsia="zh-CN"/>
        </w:rPr>
      </w:pPr>
      <w:r>
        <w:rPr>
          <w:rFonts w:hint="eastAsia"/>
          <w:color w:val="auto"/>
          <w:highlight w:val="none"/>
          <w:lang w:val="en-US" w:eastAsia="zh-CN"/>
        </w:rPr>
        <w:t>(4)投标人注册时间截至投标文件递交截止日不足一年的，可提供公司章程复印件；</w:t>
      </w:r>
    </w:p>
    <w:p>
      <w:pPr>
        <w:pStyle w:val="29"/>
        <w:bidi w:val="0"/>
        <w:rPr>
          <w:rFonts w:hint="eastAsia"/>
          <w:color w:val="auto"/>
          <w:highlight w:val="none"/>
          <w:lang w:val="en-US" w:eastAsia="zh-CN"/>
        </w:rPr>
      </w:pPr>
      <w:r>
        <w:rPr>
          <w:rFonts w:hint="eastAsia"/>
          <w:color w:val="auto"/>
          <w:highlight w:val="none"/>
          <w:lang w:val="en-US" w:eastAsia="zh-CN"/>
        </w:rPr>
        <w:t>(5)投标人为事业单位或其他组织(不具备法人条件的组织，如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等)或自然人时，可提供承诺函；</w:t>
      </w:r>
    </w:p>
    <w:p>
      <w:pPr>
        <w:pStyle w:val="29"/>
        <w:bidi w:val="0"/>
        <w:rPr>
          <w:rFonts w:hint="default"/>
          <w:color w:val="auto"/>
          <w:highlight w:val="none"/>
          <w:lang w:val="en-US" w:eastAsia="zh-CN"/>
        </w:rPr>
      </w:pPr>
      <w:r>
        <w:rPr>
          <w:rFonts w:hint="eastAsia"/>
          <w:color w:val="auto"/>
          <w:highlight w:val="none"/>
          <w:lang w:val="en-US" w:eastAsia="zh-CN"/>
        </w:rPr>
        <w:t>(6)提供具有健全的财务会计制度的承诺函。</w:t>
      </w:r>
    </w:p>
    <w:p>
      <w:pPr>
        <w:pStyle w:val="50"/>
        <w:bidi w:val="0"/>
        <w:rPr>
          <w:rFonts w:hint="eastAsia"/>
          <w:color w:val="auto"/>
          <w:highlight w:val="none"/>
        </w:rPr>
      </w:pPr>
      <w:r>
        <w:rPr>
          <w:rFonts w:hint="eastAsia"/>
          <w:b/>
          <w:bCs/>
          <w:color w:val="auto"/>
          <w:highlight w:val="none"/>
          <w:lang w:val="en-US" w:eastAsia="zh-CN"/>
        </w:rPr>
        <w:t>注：具有健全的财务会计制度的证明材料中第(1)-(6)项具有同等的投标效力，投标人可根据自身实际情况选择提供其中任意一项。</w:t>
      </w:r>
    </w:p>
    <w:p>
      <w:pPr>
        <w:pStyle w:val="38"/>
        <w:numPr>
          <w:ilvl w:val="1"/>
          <w:numId w:val="25"/>
        </w:numPr>
        <w:bidi w:val="0"/>
        <w:rPr>
          <w:rFonts w:hint="eastAsia"/>
          <w:b/>
          <w:bCs/>
          <w:color w:val="auto"/>
          <w:highlight w:val="none"/>
        </w:rPr>
      </w:pPr>
      <w:r>
        <w:rPr>
          <w:rFonts w:hint="eastAsia"/>
          <w:b/>
          <w:bCs/>
          <w:color w:val="auto"/>
          <w:highlight w:val="none"/>
          <w:lang w:val="en-US" w:eastAsia="zh-CN"/>
        </w:rPr>
        <w:t>投标人</w:t>
      </w:r>
      <w:r>
        <w:rPr>
          <w:rFonts w:hint="eastAsia"/>
          <w:b/>
          <w:bCs/>
          <w:color w:val="auto"/>
          <w:highlight w:val="none"/>
        </w:rPr>
        <w:t>具有履行合同所必需的设备和专业技术能力</w:t>
      </w:r>
      <w:r>
        <w:rPr>
          <w:rFonts w:hint="eastAsia"/>
          <w:b/>
          <w:bCs/>
          <w:color w:val="auto"/>
          <w:highlight w:val="none"/>
          <w:lang w:val="en-US" w:eastAsia="zh-CN"/>
        </w:rPr>
        <w:t>证明材料；</w:t>
      </w:r>
    </w:p>
    <w:p>
      <w:pPr>
        <w:pStyle w:val="29"/>
        <w:bidi w:val="0"/>
        <w:rPr>
          <w:rFonts w:hint="eastAsia"/>
          <w:color w:val="auto"/>
          <w:highlight w:val="none"/>
          <w:lang w:val="en-US" w:eastAsia="zh-CN"/>
        </w:rPr>
      </w:pPr>
      <w:r>
        <w:rPr>
          <w:rFonts w:hint="eastAsia"/>
          <w:color w:val="auto"/>
          <w:highlight w:val="none"/>
          <w:lang w:val="en-US" w:eastAsia="zh-CN"/>
        </w:rPr>
        <w:t>提供具有履行合同所必需的设备和专业技术能力的承诺函。</w:t>
      </w:r>
    </w:p>
    <w:p>
      <w:pPr>
        <w:pStyle w:val="50"/>
        <w:bidi w:val="0"/>
        <w:rPr>
          <w:rFonts w:hint="eastAsia"/>
          <w:color w:val="auto"/>
          <w:highlight w:val="none"/>
          <w:lang w:val="en-US" w:eastAsia="zh-CN"/>
        </w:rPr>
      </w:pPr>
      <w:r>
        <w:rPr>
          <w:rFonts w:hint="eastAsia"/>
          <w:color w:val="auto"/>
          <w:highlight w:val="none"/>
          <w:lang w:val="en-US" w:eastAsia="zh-CN"/>
        </w:rPr>
        <w:t>注：格式自拟，或参照《符合&lt;中华人民共和国政府采购法&gt;第二十二条规定的条件的承诺及声明函》的格式提供</w:t>
      </w:r>
      <w:r>
        <w:rPr>
          <w:rFonts w:hint="eastAsia"/>
          <w:color w:val="auto"/>
          <w:highlight w:val="none"/>
        </w:rPr>
        <w:t>承诺</w:t>
      </w:r>
      <w:r>
        <w:rPr>
          <w:rFonts w:hint="eastAsia"/>
          <w:color w:val="auto"/>
          <w:highlight w:val="none"/>
          <w:lang w:val="en-US" w:eastAsia="zh-CN"/>
        </w:rPr>
        <w:t>函。</w:t>
      </w:r>
    </w:p>
    <w:p>
      <w:pPr>
        <w:pStyle w:val="38"/>
        <w:numPr>
          <w:ilvl w:val="1"/>
          <w:numId w:val="25"/>
        </w:numPr>
        <w:bidi w:val="0"/>
        <w:rPr>
          <w:rFonts w:hint="eastAsia"/>
          <w:b/>
          <w:bCs/>
          <w:color w:val="auto"/>
          <w:highlight w:val="none"/>
        </w:rPr>
      </w:pPr>
      <w:r>
        <w:rPr>
          <w:rFonts w:hint="eastAsia"/>
          <w:b/>
          <w:bCs/>
          <w:color w:val="auto"/>
          <w:highlight w:val="none"/>
          <w:lang w:val="en-US" w:eastAsia="zh-CN"/>
        </w:rPr>
        <w:t>投标人具</w:t>
      </w:r>
      <w:r>
        <w:rPr>
          <w:rFonts w:hint="eastAsia"/>
          <w:b/>
          <w:bCs/>
          <w:color w:val="auto"/>
          <w:highlight w:val="none"/>
        </w:rPr>
        <w:t>有依法缴纳税收和社会保障资金的良好记录</w:t>
      </w:r>
      <w:r>
        <w:rPr>
          <w:rFonts w:hint="eastAsia"/>
          <w:b/>
          <w:bCs/>
          <w:color w:val="auto"/>
          <w:highlight w:val="none"/>
          <w:lang w:val="en-US" w:eastAsia="zh-CN"/>
        </w:rPr>
        <w:t>的证明材料；</w:t>
      </w:r>
    </w:p>
    <w:p>
      <w:pPr>
        <w:pStyle w:val="29"/>
        <w:bidi w:val="0"/>
        <w:rPr>
          <w:rFonts w:hint="eastAsia"/>
          <w:color w:val="auto"/>
          <w:highlight w:val="none"/>
        </w:rPr>
      </w:pPr>
      <w:r>
        <w:rPr>
          <w:rFonts w:hint="eastAsia"/>
          <w:color w:val="auto"/>
          <w:highlight w:val="none"/>
        </w:rPr>
        <w:t>提供</w:t>
      </w:r>
      <w:r>
        <w:rPr>
          <w:rFonts w:hint="eastAsia"/>
          <w:color w:val="auto"/>
          <w:highlight w:val="none"/>
          <w:lang w:val="en-US" w:eastAsia="zh-CN"/>
        </w:rPr>
        <w:t>具有</w:t>
      </w:r>
      <w:r>
        <w:rPr>
          <w:rFonts w:hint="eastAsia"/>
          <w:color w:val="auto"/>
          <w:highlight w:val="none"/>
          <w:lang w:val="zh-CN"/>
        </w:rPr>
        <w:t>依法缴纳税收和社会保障资金的良好记录</w:t>
      </w:r>
      <w:r>
        <w:rPr>
          <w:rFonts w:hint="eastAsia"/>
          <w:color w:val="auto"/>
          <w:highlight w:val="none"/>
        </w:rPr>
        <w:t>的承诺函</w:t>
      </w:r>
      <w:r>
        <w:rPr>
          <w:rFonts w:hint="eastAsia"/>
          <w:color w:val="auto"/>
          <w:highlight w:val="none"/>
          <w:lang w:eastAsia="zh-CN"/>
        </w:rPr>
        <w:t>。</w:t>
      </w:r>
    </w:p>
    <w:p>
      <w:pPr>
        <w:pStyle w:val="50"/>
        <w:bidi w:val="0"/>
        <w:rPr>
          <w:rFonts w:hint="eastAsia"/>
          <w:color w:val="auto"/>
          <w:highlight w:val="none"/>
        </w:rPr>
      </w:pPr>
      <w:r>
        <w:rPr>
          <w:rFonts w:hint="eastAsia"/>
          <w:color w:val="auto"/>
          <w:highlight w:val="none"/>
          <w:lang w:val="en-US" w:eastAsia="zh-CN"/>
        </w:rPr>
        <w:t>注：格式自拟，或参照《符合&lt;中华人民共和国政府采购法&gt;第二十二条规定的条件的承诺及声明函》的格式提供</w:t>
      </w:r>
      <w:r>
        <w:rPr>
          <w:rFonts w:hint="eastAsia"/>
          <w:color w:val="auto"/>
          <w:highlight w:val="none"/>
        </w:rPr>
        <w:t>承诺</w:t>
      </w:r>
      <w:r>
        <w:rPr>
          <w:rFonts w:hint="eastAsia"/>
          <w:color w:val="auto"/>
          <w:highlight w:val="none"/>
          <w:lang w:val="en-US" w:eastAsia="zh-CN"/>
        </w:rPr>
        <w:t>函。</w:t>
      </w:r>
    </w:p>
    <w:p>
      <w:pPr>
        <w:pStyle w:val="38"/>
        <w:numPr>
          <w:ilvl w:val="1"/>
          <w:numId w:val="25"/>
        </w:numPr>
        <w:bidi w:val="0"/>
        <w:rPr>
          <w:rFonts w:hint="eastAsia"/>
          <w:b/>
          <w:bCs/>
          <w:color w:val="auto"/>
          <w:highlight w:val="none"/>
          <w:lang w:eastAsia="zh-CN"/>
        </w:rPr>
      </w:pPr>
      <w:r>
        <w:rPr>
          <w:rFonts w:hint="eastAsia"/>
          <w:b/>
          <w:bCs/>
          <w:color w:val="auto"/>
          <w:highlight w:val="none"/>
          <w:lang w:val="en-US" w:eastAsia="zh-CN"/>
        </w:rPr>
        <w:t>投标人参加政府采购活动前三年内，在经营活动中没有重大违法记录的证明材料；</w:t>
      </w:r>
    </w:p>
    <w:p>
      <w:pPr>
        <w:pStyle w:val="29"/>
        <w:bidi w:val="0"/>
        <w:rPr>
          <w:rFonts w:hint="eastAsia"/>
          <w:color w:val="auto"/>
          <w:highlight w:val="none"/>
          <w:lang w:val="en-US" w:eastAsia="zh-CN"/>
        </w:rPr>
      </w:pPr>
      <w:r>
        <w:rPr>
          <w:rFonts w:hint="eastAsia"/>
          <w:color w:val="auto"/>
          <w:highlight w:val="none"/>
          <w:lang w:val="en-US" w:eastAsia="zh-CN"/>
        </w:rPr>
        <w:t>提供参加本次政府采购活动前三年内，在经营活动中没有重大违法记录的书面声明(成立不足三年的，从成立之日起计算)。</w:t>
      </w:r>
    </w:p>
    <w:p>
      <w:pPr>
        <w:pStyle w:val="38"/>
        <w:numPr>
          <w:ilvl w:val="1"/>
          <w:numId w:val="25"/>
        </w:numPr>
        <w:bidi w:val="0"/>
        <w:rPr>
          <w:rFonts w:hint="eastAsia" w:ascii="宋体" w:hAnsi="宋体" w:eastAsia="宋体" w:cs="宋体"/>
          <w:b/>
          <w:bCs/>
          <w:color w:val="auto"/>
          <w:highlight w:val="none"/>
        </w:rPr>
      </w:pPr>
      <w:r>
        <w:rPr>
          <w:rFonts w:hint="eastAsia"/>
          <w:b/>
          <w:bCs/>
          <w:color w:val="auto"/>
          <w:highlight w:val="none"/>
          <w:lang w:val="en-US" w:eastAsia="zh-CN"/>
        </w:rPr>
        <w:t>投标</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lang w:val="zh-CN" w:eastAsia="zh-CN"/>
        </w:rPr>
        <w:t>及其现任法定代表人、主要负责人不得具有行贿犯罪记录</w:t>
      </w:r>
      <w:r>
        <w:rPr>
          <w:rFonts w:hint="eastAsia" w:ascii="宋体" w:hAnsi="宋体" w:eastAsia="宋体" w:cs="宋体"/>
          <w:b/>
          <w:bCs/>
          <w:color w:val="auto"/>
          <w:highlight w:val="none"/>
          <w:lang w:val="en-US" w:eastAsia="zh-CN"/>
        </w:rPr>
        <w:t>的证明材料</w:t>
      </w:r>
      <w:r>
        <w:rPr>
          <w:rFonts w:hint="eastAsia" w:ascii="宋体" w:hAnsi="宋体" w:eastAsia="宋体" w:cs="宋体"/>
          <w:b/>
          <w:bCs/>
          <w:color w:val="auto"/>
          <w:highlight w:val="none"/>
          <w:lang w:val="zh-CN" w:eastAsia="zh-CN"/>
        </w:rPr>
        <w:t>；</w:t>
      </w:r>
    </w:p>
    <w:p>
      <w:pPr>
        <w:pStyle w:val="50"/>
        <w:bidi w:val="0"/>
        <w:jc w:val="both"/>
        <w:rPr>
          <w:rFonts w:hint="eastAsia"/>
          <w:b w:val="0"/>
          <w:bCs/>
          <w:color w:val="auto"/>
          <w:highlight w:val="none"/>
          <w:lang w:val="en-US" w:eastAsia="zh-CN"/>
        </w:rPr>
      </w:pPr>
      <w:r>
        <w:rPr>
          <w:rFonts w:hint="eastAsia"/>
          <w:b w:val="0"/>
          <w:bCs/>
          <w:color w:val="auto"/>
          <w:highlight w:val="none"/>
          <w:lang w:val="en-US" w:eastAsia="zh-CN"/>
        </w:rPr>
        <w:t>1.在投标文件中作出投标人及其现任法定代表人(姓名和身份证号码)、主要负责人(姓名和身份证号码)10年内(</w:t>
      </w:r>
      <w:r>
        <w:rPr>
          <w:rFonts w:hint="eastAsia"/>
          <w:b w:val="0"/>
          <w:bCs/>
          <w:color w:val="auto"/>
          <w:highlight w:val="none"/>
          <w:lang w:val="zh-CN" w:eastAsia="zh-CN"/>
        </w:rPr>
        <w:t>若</w:t>
      </w:r>
      <w:r>
        <w:rPr>
          <w:rFonts w:hint="eastAsia"/>
          <w:b w:val="0"/>
          <w:bCs/>
          <w:color w:val="auto"/>
          <w:highlight w:val="none"/>
          <w:lang w:val="en-US" w:eastAsia="zh-CN"/>
        </w:rPr>
        <w:t>供应商</w:t>
      </w:r>
      <w:r>
        <w:rPr>
          <w:rFonts w:hint="eastAsia"/>
          <w:b w:val="0"/>
          <w:bCs/>
          <w:color w:val="auto"/>
          <w:highlight w:val="none"/>
          <w:lang w:val="zh-CN" w:eastAsia="zh-CN"/>
        </w:rPr>
        <w:t>成立不足10年的，</w:t>
      </w:r>
      <w:r>
        <w:rPr>
          <w:rFonts w:hint="eastAsia"/>
          <w:b w:val="0"/>
          <w:bCs/>
          <w:color w:val="auto"/>
          <w:highlight w:val="none"/>
          <w:lang w:val="en-US" w:eastAsia="zh-CN"/>
        </w:rPr>
        <w:t>承诺期限为</w:t>
      </w:r>
      <w:r>
        <w:rPr>
          <w:rFonts w:hint="eastAsia"/>
          <w:b w:val="0"/>
          <w:bCs/>
          <w:color w:val="auto"/>
          <w:highlight w:val="none"/>
          <w:lang w:val="zh-CN" w:eastAsia="zh-CN"/>
        </w:rPr>
        <w:t>成立之日起</w:t>
      </w:r>
      <w:r>
        <w:rPr>
          <w:rFonts w:hint="eastAsia"/>
          <w:b w:val="0"/>
          <w:bCs/>
          <w:color w:val="auto"/>
          <w:highlight w:val="none"/>
          <w:lang w:val="en-US" w:eastAsia="zh-CN"/>
        </w:rPr>
        <w:t>至今)无行贿犯罪记录的承诺；</w:t>
      </w:r>
    </w:p>
    <w:p>
      <w:pPr>
        <w:pStyle w:val="50"/>
        <w:bidi w:val="0"/>
        <w:jc w:val="both"/>
        <w:rPr>
          <w:rFonts w:hint="eastAsia"/>
          <w:b w:val="0"/>
          <w:bCs/>
          <w:color w:val="auto"/>
          <w:highlight w:val="none"/>
          <w:lang w:val="zh-CN" w:eastAsia="zh-CN"/>
        </w:rPr>
      </w:pPr>
      <w:r>
        <w:rPr>
          <w:rFonts w:hint="eastAsia"/>
          <w:b w:val="0"/>
          <w:bCs/>
          <w:color w:val="auto"/>
          <w:highlight w:val="none"/>
          <w:lang w:val="en-US" w:eastAsia="zh-CN"/>
        </w:rPr>
        <w:t>2.投标人未提供有效承诺函的，则需要在投标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color w:val="auto"/>
          <w:highlight w:val="none"/>
          <w:lang w:val="zh-CN" w:eastAsia="zh-CN"/>
        </w:rPr>
        <w:t>。</w:t>
      </w:r>
    </w:p>
    <w:p>
      <w:pPr>
        <w:pStyle w:val="28"/>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default"/>
          <w:b/>
          <w:bCs/>
          <w:color w:val="auto"/>
          <w:highlight w:val="none"/>
          <w:lang w:val="en-US" w:eastAsia="zh-CN"/>
        </w:rPr>
      </w:pPr>
      <w:r>
        <w:rPr>
          <w:rFonts w:hint="eastAsia"/>
          <w:b/>
          <w:bCs/>
          <w:color w:val="auto"/>
          <w:highlight w:val="none"/>
          <w:lang w:val="en-US" w:eastAsia="zh-CN"/>
        </w:rPr>
        <w:t>注：</w:t>
      </w:r>
      <w:r>
        <w:rPr>
          <w:rFonts w:hint="eastAsia"/>
          <w:b/>
          <w:bCs/>
          <w:color w:val="auto"/>
          <w:highlight w:val="none"/>
          <w:lang w:eastAsia="zh-CN"/>
        </w:rPr>
        <w:t>①</w:t>
      </w:r>
      <w:r>
        <w:rPr>
          <w:rFonts w:hint="eastAsia"/>
          <w:b/>
          <w:bCs/>
          <w:color w:val="auto"/>
          <w:highlight w:val="none"/>
          <w:lang w:val="en-US" w:eastAsia="zh-CN"/>
        </w:rPr>
        <w:t>投标人采用提供承诺函方式响应的，其内容必须符合上述第1款的要求，否则将视为无效承诺；</w:t>
      </w:r>
      <w:r>
        <w:rPr>
          <w:rFonts w:hint="eastAsia"/>
          <w:b/>
          <w:bCs/>
          <w:color w:val="auto"/>
          <w:highlight w:val="none"/>
          <w:lang w:eastAsia="zh-CN"/>
        </w:rPr>
        <w:t>②</w:t>
      </w:r>
      <w:r>
        <w:rPr>
          <w:rFonts w:hint="eastAsia"/>
          <w:b/>
          <w:bCs/>
          <w:color w:val="auto"/>
          <w:highlight w:val="none"/>
          <w:lang w:val="en-US" w:eastAsia="zh-CN"/>
        </w:rPr>
        <w:t>如投标人未提供有效承诺函，且未</w:t>
      </w:r>
      <w:r>
        <w:rPr>
          <w:rFonts w:hint="eastAsia"/>
          <w:b/>
          <w:bCs w:val="0"/>
          <w:color w:val="auto"/>
          <w:highlight w:val="none"/>
          <w:lang w:val="en-US" w:eastAsia="zh-CN"/>
        </w:rPr>
        <w:t>在投标文件中书面载明</w:t>
      </w:r>
      <w:r>
        <w:rPr>
          <w:rFonts w:hint="eastAsia"/>
          <w:b/>
          <w:bCs/>
          <w:color w:val="auto"/>
          <w:highlight w:val="none"/>
          <w:lang w:val="en-US" w:eastAsia="zh-CN"/>
        </w:rPr>
        <w:t>其“现任法定代表人”(姓名和身份证号码)、“主要负责人”(姓名和身份证号码)信息的，将被视为无效投标。</w:t>
      </w:r>
    </w:p>
    <w:p>
      <w:pPr>
        <w:pStyle w:val="38"/>
        <w:numPr>
          <w:ilvl w:val="1"/>
          <w:numId w:val="25"/>
        </w:numPr>
        <w:bidi w:val="0"/>
        <w:rPr>
          <w:rFonts w:hint="eastAsia"/>
          <w:b/>
          <w:bCs/>
          <w:color w:val="auto"/>
          <w:highlight w:val="none"/>
        </w:rPr>
      </w:pPr>
      <w:r>
        <w:rPr>
          <w:rFonts w:hint="eastAsia"/>
          <w:b/>
          <w:bCs/>
          <w:color w:val="auto"/>
          <w:highlight w:val="none"/>
          <w:lang w:val="en-US" w:eastAsia="zh-CN"/>
        </w:rPr>
        <w:t>投标人不得为“信用中国”网站(www.creditchina.gov.cn)中列入失信被执行人和重大税收违法案件当事人名单的供应商，不得为“中国政府采购网”(www.ccgp.gov.cn)政府</w:t>
      </w:r>
      <w:r>
        <w:rPr>
          <w:rFonts w:hint="eastAsia"/>
          <w:b/>
          <w:bCs/>
          <w:color w:val="auto"/>
          <w:highlight w:val="none"/>
        </w:rPr>
        <w:t>采购严重违法失信行为记录名单中被财政部门禁止参加政府采购活动的供应商</w:t>
      </w:r>
      <w:r>
        <w:rPr>
          <w:rFonts w:hint="eastAsia"/>
          <w:b/>
          <w:bCs/>
          <w:color w:val="auto"/>
          <w:highlight w:val="none"/>
          <w:lang w:eastAsia="zh-CN"/>
        </w:rPr>
        <w:t>(</w:t>
      </w:r>
      <w:r>
        <w:rPr>
          <w:rFonts w:hint="eastAsia"/>
          <w:b/>
          <w:bCs/>
          <w:color w:val="auto"/>
          <w:highlight w:val="none"/>
        </w:rPr>
        <w:t>处罚决定规定的时间和地域范围内</w:t>
      </w:r>
      <w:r>
        <w:rPr>
          <w:rFonts w:hint="eastAsia"/>
          <w:b/>
          <w:bCs/>
          <w:color w:val="auto"/>
          <w:highlight w:val="none"/>
          <w:lang w:eastAsia="zh-CN"/>
        </w:rPr>
        <w:t>)；</w:t>
      </w:r>
      <w:r>
        <w:rPr>
          <w:rFonts w:hint="eastAsia"/>
          <w:b/>
          <w:bCs/>
          <w:color w:val="auto"/>
          <w:highlight w:val="none"/>
          <w:lang w:val="en-US" w:eastAsia="zh-CN"/>
        </w:rPr>
        <w:t xml:space="preserve"> </w:t>
      </w:r>
    </w:p>
    <w:p>
      <w:pPr>
        <w:pStyle w:val="29"/>
        <w:bidi w:val="0"/>
        <w:rPr>
          <w:rFonts w:hint="eastAsia" w:eastAsia="宋体"/>
          <w:color w:val="auto"/>
          <w:highlight w:val="none"/>
          <w:lang w:eastAsia="zh-CN"/>
        </w:rPr>
      </w:pPr>
      <w:r>
        <w:rPr>
          <w:rFonts w:hint="eastAsia"/>
          <w:color w:val="auto"/>
          <w:highlight w:val="none"/>
        </w:rPr>
        <w:t>采购代理机构通过</w:t>
      </w:r>
      <w:r>
        <w:rPr>
          <w:rFonts w:hint="eastAsia"/>
          <w:color w:val="auto"/>
          <w:highlight w:val="none"/>
          <w:lang w:eastAsia="zh-CN"/>
        </w:rPr>
        <w:t>“</w:t>
      </w:r>
      <w:r>
        <w:rPr>
          <w:rFonts w:hint="eastAsia"/>
          <w:color w:val="auto"/>
          <w:highlight w:val="none"/>
        </w:rPr>
        <w:t>信用中国</w:t>
      </w:r>
      <w:r>
        <w:rPr>
          <w:rFonts w:hint="eastAsia"/>
          <w:color w:val="auto"/>
          <w:highlight w:val="none"/>
          <w:lang w:eastAsia="zh-CN"/>
        </w:rPr>
        <w:t>”</w:t>
      </w:r>
      <w:r>
        <w:rPr>
          <w:rFonts w:hint="eastAsia"/>
          <w:color w:val="auto"/>
          <w:highlight w:val="none"/>
        </w:rPr>
        <w:t>网站、</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等渠道对供应商进行信用记录查询，并将查询记录存档。凡被列入失信被执行人、重大税收违法案件当事人名单、政府采购严重违法失信行为记录名单的，视为存在不良信用记录，参与本项目的将被拒绝</w:t>
      </w:r>
      <w:r>
        <w:rPr>
          <w:rFonts w:hint="eastAsia"/>
          <w:color w:val="auto"/>
          <w:highlight w:val="none"/>
          <w:lang w:eastAsia="zh-CN"/>
        </w:rPr>
        <w:t>。</w:t>
      </w:r>
    </w:p>
    <w:p>
      <w:pPr>
        <w:pStyle w:val="50"/>
        <w:bidi w:val="0"/>
        <w:rPr>
          <w:rFonts w:hint="eastAsia"/>
          <w:color w:val="auto"/>
          <w:highlight w:val="none"/>
          <w:lang w:eastAsia="zh-CN"/>
        </w:rPr>
      </w:pPr>
      <w:r>
        <w:rPr>
          <w:rFonts w:hint="eastAsia"/>
          <w:color w:val="auto"/>
          <w:highlight w:val="none"/>
          <w:lang w:val="en-US" w:eastAsia="zh-CN"/>
        </w:rPr>
        <w:t>注：投标人</w:t>
      </w:r>
      <w:r>
        <w:rPr>
          <w:rFonts w:hint="eastAsia"/>
          <w:color w:val="auto"/>
          <w:highlight w:val="none"/>
        </w:rPr>
        <w:t>参与</w:t>
      </w:r>
      <w:r>
        <w:rPr>
          <w:rFonts w:hint="eastAsia"/>
          <w:color w:val="auto"/>
          <w:highlight w:val="none"/>
          <w:lang w:eastAsia="zh-CN"/>
        </w:rPr>
        <w:t>投标</w:t>
      </w:r>
      <w:r>
        <w:rPr>
          <w:rFonts w:hint="eastAsia"/>
          <w:color w:val="auto"/>
          <w:highlight w:val="none"/>
        </w:rPr>
        <w:t>时无需对此条进行响应</w:t>
      </w:r>
      <w:r>
        <w:rPr>
          <w:rFonts w:hint="eastAsia"/>
          <w:color w:val="auto"/>
          <w:highlight w:val="none"/>
          <w:lang w:eastAsia="zh-CN"/>
        </w:rPr>
        <w:t>。</w:t>
      </w:r>
    </w:p>
    <w:p>
      <w:pPr>
        <w:pStyle w:val="38"/>
        <w:numPr>
          <w:ilvl w:val="1"/>
          <w:numId w:val="25"/>
        </w:numPr>
        <w:bidi w:val="0"/>
        <w:rPr>
          <w:rFonts w:hint="eastAsia"/>
          <w:b/>
          <w:bCs/>
          <w:color w:val="auto"/>
          <w:highlight w:val="none"/>
        </w:rPr>
      </w:pPr>
      <w:r>
        <w:rPr>
          <w:rFonts w:hint="eastAsia"/>
          <w:b/>
          <w:bCs/>
          <w:color w:val="auto"/>
          <w:highlight w:val="none"/>
        </w:rPr>
        <w:t>法定代表人</w:t>
      </w:r>
      <w:r>
        <w:rPr>
          <w:rFonts w:hint="eastAsia"/>
          <w:b/>
          <w:bCs/>
          <w:color w:val="auto"/>
          <w:highlight w:val="none"/>
          <w:lang w:val="en-US" w:eastAsia="zh-CN"/>
        </w:rPr>
        <w:t>/单位负责人</w:t>
      </w:r>
      <w:r>
        <w:rPr>
          <w:rFonts w:hint="eastAsia"/>
          <w:b/>
          <w:bCs/>
          <w:color w:val="auto"/>
          <w:highlight w:val="none"/>
        </w:rPr>
        <w:t>授权书原件</w:t>
      </w:r>
      <w:r>
        <w:rPr>
          <w:rFonts w:hint="eastAsia"/>
          <w:b/>
          <w:bCs/>
          <w:color w:val="auto"/>
          <w:highlight w:val="none"/>
          <w:lang w:val="en-US" w:eastAsia="zh-CN"/>
        </w:rPr>
        <w:t>；</w:t>
      </w:r>
    </w:p>
    <w:p>
      <w:pPr>
        <w:pStyle w:val="50"/>
        <w:bidi w:val="0"/>
        <w:rPr>
          <w:rFonts w:hint="eastAsia"/>
          <w:color w:val="auto"/>
          <w:highlight w:val="none"/>
          <w:lang w:eastAsia="zh-CN"/>
        </w:rPr>
      </w:pPr>
      <w:r>
        <w:rPr>
          <w:rFonts w:hint="eastAsia"/>
          <w:color w:val="auto"/>
          <w:highlight w:val="none"/>
          <w:lang w:val="en-US" w:eastAsia="zh-CN"/>
        </w:rPr>
        <w:t>注：</w:t>
      </w:r>
      <w:r>
        <w:rPr>
          <w:rFonts w:hint="eastAsia"/>
          <w:color w:val="auto"/>
          <w:highlight w:val="none"/>
          <w:lang w:eastAsia="zh-CN"/>
        </w:rPr>
        <w:t>①附法定代表人</w:t>
      </w:r>
      <w:r>
        <w:rPr>
          <w:rFonts w:hint="eastAsia"/>
          <w:color w:val="auto"/>
          <w:highlight w:val="none"/>
          <w:lang w:val="en-US" w:eastAsia="zh-CN"/>
        </w:rPr>
        <w:t>/单位负责人</w:t>
      </w:r>
      <w:r>
        <w:rPr>
          <w:rFonts w:hint="eastAsia"/>
          <w:color w:val="auto"/>
          <w:highlight w:val="none"/>
          <w:lang w:eastAsia="zh-CN"/>
        </w:rPr>
        <w:t>和被授权人身份证正反面复印件；②法定代表人</w:t>
      </w:r>
      <w:r>
        <w:rPr>
          <w:rFonts w:hint="eastAsia"/>
          <w:color w:val="auto"/>
          <w:highlight w:val="none"/>
          <w:lang w:val="en-US" w:eastAsia="zh-CN"/>
        </w:rPr>
        <w:t>/单位负责人亲自</w:t>
      </w:r>
      <w:r>
        <w:rPr>
          <w:rFonts w:hint="eastAsia"/>
          <w:color w:val="auto"/>
          <w:highlight w:val="none"/>
          <w:lang w:eastAsia="zh-CN"/>
        </w:rPr>
        <w:t>参与</w:t>
      </w:r>
      <w:r>
        <w:rPr>
          <w:rFonts w:hint="eastAsia"/>
          <w:color w:val="auto"/>
          <w:highlight w:val="none"/>
          <w:lang w:val="en-US" w:eastAsia="zh-CN"/>
        </w:rPr>
        <w:t>投标</w:t>
      </w:r>
      <w:r>
        <w:rPr>
          <w:rFonts w:hint="eastAsia"/>
          <w:color w:val="auto"/>
          <w:highlight w:val="none"/>
          <w:lang w:eastAsia="zh-CN"/>
        </w:rPr>
        <w:t>时不需要提供。</w:t>
      </w:r>
    </w:p>
    <w:p>
      <w:pPr>
        <w:pStyle w:val="38"/>
        <w:numPr>
          <w:ilvl w:val="1"/>
          <w:numId w:val="25"/>
        </w:numPr>
        <w:bidi w:val="0"/>
        <w:rPr>
          <w:rFonts w:hint="eastAsia"/>
          <w:b/>
          <w:bCs/>
          <w:color w:val="auto"/>
          <w:highlight w:val="none"/>
        </w:rPr>
      </w:pPr>
      <w:r>
        <w:rPr>
          <w:rFonts w:hint="eastAsia"/>
          <w:b/>
          <w:bCs/>
          <w:color w:val="auto"/>
          <w:highlight w:val="none"/>
        </w:rPr>
        <w:t>法定代表人</w:t>
      </w:r>
      <w:r>
        <w:rPr>
          <w:rFonts w:hint="eastAsia"/>
          <w:b/>
          <w:bCs/>
          <w:color w:val="auto"/>
          <w:highlight w:val="none"/>
          <w:lang w:val="en-US" w:eastAsia="zh-CN"/>
        </w:rPr>
        <w:t>/单位负责人</w:t>
      </w:r>
      <w:r>
        <w:rPr>
          <w:rFonts w:hint="eastAsia"/>
          <w:b/>
          <w:bCs/>
          <w:color w:val="auto"/>
          <w:highlight w:val="none"/>
        </w:rPr>
        <w:t>证明书</w:t>
      </w:r>
      <w:r>
        <w:rPr>
          <w:rFonts w:hint="eastAsia"/>
          <w:b/>
          <w:bCs/>
          <w:color w:val="auto"/>
          <w:highlight w:val="none"/>
          <w:lang w:val="en-US" w:eastAsia="zh-CN"/>
        </w:rPr>
        <w:t>；</w:t>
      </w:r>
    </w:p>
    <w:p>
      <w:pPr>
        <w:pStyle w:val="50"/>
        <w:bidi w:val="0"/>
        <w:rPr>
          <w:rFonts w:hint="eastAsia"/>
          <w:color w:val="auto"/>
          <w:highlight w:val="none"/>
          <w:lang w:val="en-US" w:eastAsia="zh-CN"/>
        </w:rPr>
      </w:pPr>
      <w:r>
        <w:rPr>
          <w:rFonts w:hint="eastAsia"/>
          <w:color w:val="auto"/>
          <w:highlight w:val="none"/>
          <w:lang w:val="en-US" w:eastAsia="zh-CN"/>
        </w:rPr>
        <w:t>注：①</w:t>
      </w:r>
      <w:r>
        <w:rPr>
          <w:rFonts w:hint="eastAsia"/>
          <w:color w:val="auto"/>
          <w:highlight w:val="none"/>
          <w:lang w:eastAsia="zh-CN"/>
        </w:rPr>
        <w:t>附</w:t>
      </w:r>
      <w:r>
        <w:rPr>
          <w:rFonts w:hint="eastAsia"/>
          <w:color w:val="auto"/>
          <w:highlight w:val="none"/>
          <w:lang w:val="en-US" w:eastAsia="zh-CN"/>
        </w:rPr>
        <w:t>法定代表人/单位负责人身份证正反面复印件；②法定代表人/单位负责人亲自参加投标时提供本证明书。</w:t>
      </w:r>
    </w:p>
    <w:p>
      <w:pPr>
        <w:pStyle w:val="38"/>
        <w:numPr>
          <w:ilvl w:val="1"/>
          <w:numId w:val="25"/>
        </w:numPr>
        <w:bidi w:val="0"/>
        <w:rPr>
          <w:rFonts w:hint="eastAsia"/>
          <w:b/>
          <w:bCs/>
          <w:color w:val="auto"/>
          <w:highlight w:val="none"/>
        </w:rPr>
      </w:pPr>
      <w:r>
        <w:rPr>
          <w:rFonts w:hint="eastAsia"/>
          <w:b/>
          <w:bCs/>
          <w:color w:val="auto"/>
          <w:highlight w:val="none"/>
          <w:lang w:val="en-US" w:eastAsia="zh-CN"/>
        </w:rPr>
        <w:t>法律、</w:t>
      </w:r>
      <w:r>
        <w:rPr>
          <w:rFonts w:hint="eastAsia"/>
          <w:b/>
          <w:bCs/>
          <w:color w:val="auto"/>
          <w:highlight w:val="none"/>
          <w:lang w:val="en-US" w:eastAsia="zh-CN"/>
        </w:rPr>
        <w:fldChar w:fldCharType="begin"/>
      </w:r>
      <w:r>
        <w:rPr>
          <w:rFonts w:hint="eastAsia"/>
          <w:b/>
          <w:bCs/>
          <w:color w:val="auto"/>
          <w:highlight w:val="none"/>
          <w:lang w:val="en-US" w:eastAsia="zh-CN"/>
        </w:rPr>
        <w:instrText xml:space="preserve"> HYPERLINK "http://www.lawtime.cn/info/sifakaoshi/xingzhengfa/" \t "_blank" </w:instrText>
      </w:r>
      <w:r>
        <w:rPr>
          <w:rFonts w:hint="eastAsia"/>
          <w:b/>
          <w:bCs/>
          <w:color w:val="auto"/>
          <w:highlight w:val="none"/>
          <w:lang w:val="en-US" w:eastAsia="zh-CN"/>
        </w:rPr>
        <w:fldChar w:fldCharType="separate"/>
      </w:r>
      <w:r>
        <w:rPr>
          <w:rFonts w:hint="eastAsia"/>
          <w:b/>
          <w:bCs/>
          <w:color w:val="auto"/>
          <w:highlight w:val="none"/>
          <w:lang w:val="en-US" w:eastAsia="zh-CN"/>
        </w:rPr>
        <w:t>行政法</w:t>
      </w:r>
      <w:r>
        <w:rPr>
          <w:rFonts w:hint="eastAsia"/>
          <w:b/>
          <w:bCs/>
          <w:color w:val="auto"/>
          <w:highlight w:val="none"/>
          <w:lang w:val="en-US" w:eastAsia="zh-CN"/>
        </w:rPr>
        <w:fldChar w:fldCharType="end"/>
      </w:r>
      <w:r>
        <w:rPr>
          <w:rFonts w:hint="eastAsia"/>
          <w:b/>
          <w:bCs/>
          <w:color w:val="auto"/>
          <w:highlight w:val="none"/>
          <w:lang w:val="en-US" w:eastAsia="zh-CN"/>
        </w:rPr>
        <w:t>规规定的其他条件的证明材料；</w:t>
      </w:r>
    </w:p>
    <w:p>
      <w:pPr>
        <w:pStyle w:val="29"/>
        <w:bidi w:val="0"/>
        <w:rPr>
          <w:rFonts w:hint="eastAsia"/>
          <w:color w:val="auto"/>
          <w:highlight w:val="none"/>
          <w:lang w:val="en-US" w:eastAsia="zh-CN"/>
        </w:rPr>
      </w:pPr>
      <w:r>
        <w:rPr>
          <w:rFonts w:hint="eastAsia"/>
          <w:color w:val="auto"/>
          <w:highlight w:val="none"/>
          <w:lang w:val="en-US" w:eastAsia="zh-CN"/>
        </w:rPr>
        <w:t>提供符合法律、</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"http://www.lawtime.cn/info/sifakaoshi/xingzhengfa/" \t "_blank" </w:instrText>
      </w:r>
      <w:r>
        <w:rPr>
          <w:rFonts w:hint="eastAsia"/>
          <w:color w:val="auto"/>
          <w:highlight w:val="none"/>
          <w:lang w:val="en-US" w:eastAsia="zh-CN"/>
        </w:rPr>
        <w:fldChar w:fldCharType="separate"/>
      </w:r>
      <w:r>
        <w:rPr>
          <w:rFonts w:hint="eastAsia"/>
          <w:color w:val="auto"/>
          <w:highlight w:val="none"/>
          <w:lang w:val="en-US" w:eastAsia="zh-CN"/>
        </w:rPr>
        <w:t>行政法</w:t>
      </w:r>
      <w:r>
        <w:rPr>
          <w:rFonts w:hint="eastAsia"/>
          <w:color w:val="auto"/>
          <w:highlight w:val="none"/>
          <w:lang w:val="en-US" w:eastAsia="zh-CN"/>
        </w:rPr>
        <w:fldChar w:fldCharType="end"/>
      </w:r>
      <w:r>
        <w:rPr>
          <w:rFonts w:hint="eastAsia"/>
          <w:color w:val="auto"/>
          <w:highlight w:val="none"/>
          <w:lang w:val="en-US" w:eastAsia="zh-CN"/>
        </w:rPr>
        <w:t>规规定的其他条件的承诺函。</w:t>
      </w:r>
    </w:p>
    <w:p>
      <w:pPr>
        <w:pStyle w:val="50"/>
        <w:bidi w:val="0"/>
        <w:rPr>
          <w:color w:val="auto"/>
          <w:highlight w:val="none"/>
        </w:rPr>
      </w:pPr>
      <w:r>
        <w:rPr>
          <w:rFonts w:hint="eastAsia"/>
          <w:color w:val="auto"/>
          <w:highlight w:val="none"/>
          <w:lang w:val="en-US" w:eastAsia="zh-CN"/>
        </w:rPr>
        <w:t>备</w:t>
      </w:r>
      <w:r>
        <w:rPr>
          <w:rFonts w:hint="eastAsia"/>
          <w:color w:val="auto"/>
          <w:highlight w:val="none"/>
        </w:rPr>
        <w:t>注：①以上承诺及声明函可参照第三章投标文件格式中相关格式或自拟格式填写均有效。</w:t>
      </w:r>
    </w:p>
    <w:p>
      <w:pPr>
        <w:pStyle w:val="50"/>
        <w:bidi w:val="0"/>
        <w:rPr>
          <w:rFonts w:hint="eastAsia"/>
          <w:color w:val="auto"/>
          <w:highlight w:val="none"/>
        </w:rPr>
      </w:pPr>
      <w:r>
        <w:rPr>
          <w:rFonts w:hint="eastAsia"/>
          <w:color w:val="auto"/>
          <w:highlight w:val="none"/>
        </w:rPr>
        <w:t>②以上要求提供的相关证明材料须加盖投标人公章</w:t>
      </w:r>
      <w:r>
        <w:rPr>
          <w:rFonts w:hint="eastAsia"/>
          <w:color w:val="auto"/>
          <w:highlight w:val="none"/>
          <w:lang w:eastAsia="zh-CN"/>
        </w:rPr>
        <w:t>，</w:t>
      </w:r>
      <w:r>
        <w:rPr>
          <w:rFonts w:hint="eastAsia"/>
          <w:color w:val="auto"/>
          <w:highlight w:val="none"/>
          <w:lang w:val="en-US" w:eastAsia="zh-CN"/>
        </w:rPr>
        <w:t>否则</w:t>
      </w:r>
      <w:r>
        <w:rPr>
          <w:rFonts w:hint="eastAsia"/>
          <w:color w:val="auto"/>
          <w:highlight w:val="none"/>
        </w:rPr>
        <w:t>其资格审查作未通过处理。</w:t>
      </w:r>
    </w:p>
    <w:p>
      <w:pPr>
        <w:pStyle w:val="50"/>
        <w:bidi w:val="0"/>
        <w:rPr>
          <w:color w:val="auto"/>
          <w:highlight w:val="none"/>
        </w:rPr>
      </w:pPr>
      <w:r>
        <w:rPr>
          <w:rFonts w:hint="eastAsia"/>
          <w:color w:val="auto"/>
          <w:highlight w:val="none"/>
        </w:rPr>
        <w:t>③本项目资格审查仅限于本章涉及的所有内容，若供应商未按照以上要求提供齐全，其资格审查作未通过处理。</w:t>
      </w:r>
    </w:p>
    <w:p>
      <w:pPr>
        <w:pStyle w:val="50"/>
        <w:bidi w:val="0"/>
        <w:rPr>
          <w:color w:val="auto"/>
          <w:highlight w:val="none"/>
        </w:rPr>
      </w:pPr>
      <w:r>
        <w:rPr>
          <w:rFonts w:hint="eastAsia"/>
          <w:color w:val="auto"/>
          <w:highlight w:val="none"/>
        </w:rPr>
        <w:t>④投标人应对其所提供的资格证明材料来源的合法性、真实性承担法律责任。</w:t>
      </w:r>
    </w:p>
    <w:p>
      <w:pPr>
        <w:pStyle w:val="50"/>
        <w:bidi w:val="0"/>
        <w:rPr>
          <w:color w:val="auto"/>
          <w:highlight w:val="none"/>
        </w:rPr>
      </w:pPr>
      <w:r>
        <w:rPr>
          <w:rFonts w:hint="eastAsia"/>
          <w:color w:val="auto"/>
          <w:highlight w:val="none"/>
          <w:lang w:val="en-US" w:eastAsia="zh-CN"/>
        </w:rPr>
        <w:t>⑤</w:t>
      </w:r>
      <w:r>
        <w:rPr>
          <w:rFonts w:hint="eastAsia"/>
          <w:color w:val="auto"/>
          <w:highlight w:val="none"/>
        </w:rPr>
        <w:t>以上要求提供的相关证明材料应当结合采购项目具体情况和投标人的组织机构性质确定，不得一概而论。</w:t>
      </w:r>
    </w:p>
    <w:p>
      <w:pPr>
        <w:pStyle w:val="26"/>
        <w:numPr>
          <w:ilvl w:val="1"/>
          <w:numId w:val="11"/>
        </w:numPr>
        <w:bidi w:val="0"/>
        <w:rPr>
          <w:rFonts w:hint="eastAsia"/>
          <w:color w:val="auto"/>
          <w:highlight w:val="none"/>
          <w:lang w:eastAsia="zh-CN"/>
        </w:rPr>
      </w:pPr>
      <w:bookmarkStart w:id="998" w:name="_Toc14301"/>
      <w:bookmarkStart w:id="999" w:name="_Toc14213"/>
      <w:r>
        <w:rPr>
          <w:rFonts w:hint="eastAsia"/>
          <w:color w:val="auto"/>
          <w:highlight w:val="none"/>
          <w:lang w:eastAsia="zh-CN"/>
        </w:rPr>
        <w:t>审查程序</w:t>
      </w:r>
      <w:bookmarkEnd w:id="994"/>
      <w:bookmarkEnd w:id="995"/>
      <w:bookmarkEnd w:id="996"/>
      <w:bookmarkEnd w:id="998"/>
      <w:bookmarkEnd w:id="999"/>
    </w:p>
    <w:p>
      <w:pPr>
        <w:pStyle w:val="38"/>
        <w:numPr>
          <w:ilvl w:val="1"/>
          <w:numId w:val="26"/>
        </w:numPr>
        <w:bidi w:val="0"/>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)第四十四条</w:t>
      </w:r>
      <w:r>
        <w:rPr>
          <w:rFonts w:hint="eastAsia"/>
          <w:color w:val="auto"/>
          <w:highlight w:val="none"/>
        </w:rPr>
        <w:t>对投标人的资格进行审查。</w:t>
      </w:r>
    </w:p>
    <w:p>
      <w:pPr>
        <w:pStyle w:val="38"/>
        <w:numPr>
          <w:ilvl w:val="1"/>
          <w:numId w:val="26"/>
        </w:numPr>
        <w:bidi w:val="0"/>
        <w:rPr>
          <w:rFonts w:hint="eastAsia"/>
          <w:color w:val="auto"/>
          <w:highlight w:val="none"/>
          <w:lang w:val="en-US" w:eastAsia="zh-CN"/>
        </w:rPr>
      </w:pPr>
      <w:r>
        <w:rPr>
          <w:rFonts w:hint="eastAsia"/>
          <w:color w:val="auto"/>
          <w:highlight w:val="none"/>
          <w:lang w:val="en-US" w:eastAsia="zh-CN"/>
        </w:rPr>
        <w:t>本项目由</w:t>
      </w:r>
      <w:r>
        <w:rPr>
          <w:rFonts w:hint="eastAsia"/>
          <w:color w:val="auto"/>
          <w:highlight w:val="none"/>
        </w:rPr>
        <w:t>采购人或者采购代理机构依法对投标人的资格进行审查</w:t>
      </w:r>
      <w:r>
        <w:rPr>
          <w:rFonts w:hint="eastAsia"/>
          <w:color w:val="auto"/>
          <w:highlight w:val="none"/>
          <w:lang w:eastAsia="zh-CN"/>
        </w:rPr>
        <w:t>，并出具书面的资格性审查结果。</w:t>
      </w:r>
    </w:p>
    <w:p>
      <w:pPr>
        <w:pStyle w:val="38"/>
        <w:numPr>
          <w:ilvl w:val="1"/>
          <w:numId w:val="26"/>
        </w:numPr>
        <w:bidi w:val="0"/>
        <w:rPr>
          <w:rFonts w:hint="eastAsia"/>
          <w:color w:val="auto"/>
          <w:highlight w:val="none"/>
        </w:rPr>
      </w:pPr>
      <w:r>
        <w:rPr>
          <w:rFonts w:hint="eastAsia"/>
          <w:color w:val="auto"/>
          <w:highlight w:val="none"/>
        </w:rPr>
        <w:t>合格投标人不足3家的，不得评标</w:t>
      </w:r>
      <w:r>
        <w:rPr>
          <w:rFonts w:hint="eastAsia"/>
          <w:color w:val="auto"/>
          <w:highlight w:val="none"/>
          <w:lang w:eastAsia="zh-CN"/>
        </w:rPr>
        <w:t>。</w:t>
      </w:r>
    </w:p>
    <w:p>
      <w:pPr>
        <w:pStyle w:val="24"/>
        <w:numPr>
          <w:ilvl w:val="0"/>
          <w:numId w:val="11"/>
        </w:numPr>
        <w:bidi w:val="0"/>
        <w:rPr>
          <w:rFonts w:hint="eastAsia"/>
          <w:color w:val="auto"/>
          <w:highlight w:val="none"/>
        </w:rPr>
      </w:pPr>
      <w:r>
        <w:rPr>
          <w:rFonts w:hint="eastAsia"/>
          <w:color w:val="auto"/>
          <w:highlight w:val="none"/>
        </w:rPr>
        <w:br w:type="page"/>
      </w:r>
      <w:bookmarkEnd w:id="997"/>
      <w:bookmarkStart w:id="1000" w:name="_Toc5955"/>
      <w:bookmarkStart w:id="1001" w:name="_Toc14530"/>
      <w:bookmarkStart w:id="1002" w:name="_Toc23900"/>
      <w:r>
        <w:rPr>
          <w:rFonts w:hint="eastAsia"/>
          <w:color w:val="auto"/>
          <w:highlight w:val="none"/>
        </w:rPr>
        <w:t>招标项目技术、服务、政府采购合同内容条款及其他商务要求</w:t>
      </w:r>
      <w:bookmarkEnd w:id="1000"/>
      <w:bookmarkEnd w:id="1001"/>
      <w:bookmarkEnd w:id="1002"/>
    </w:p>
    <w:p>
      <w:pPr>
        <w:keepNext w:val="0"/>
        <w:keepLines w:val="0"/>
        <w:pageBreakBefore w:val="0"/>
        <w:widowControl w:val="0"/>
        <w:numPr>
          <w:ilvl w:val="1"/>
          <w:numId w:val="27"/>
        </w:numPr>
        <w:kinsoku/>
        <w:wordWrap w:val="0"/>
        <w:overflowPunct/>
        <w:topLinePunct/>
        <w:autoSpaceDE/>
        <w:autoSpaceDN/>
        <w:bidi w:val="0"/>
        <w:adjustRightInd w:val="0"/>
        <w:snapToGrid w:val="0"/>
        <w:spacing w:line="440" w:lineRule="exact"/>
        <w:ind w:left="0" w:firstLine="482" w:firstLineChars="200"/>
        <w:jc w:val="left"/>
        <w:textAlignment w:val="auto"/>
        <w:outlineLvl w:val="1"/>
        <w:rPr>
          <w:rFonts w:hint="eastAsia" w:ascii="宋体" w:hAnsi="宋体" w:eastAsia="宋体" w:cstheme="minorBidi"/>
          <w:b/>
          <w:color w:val="auto"/>
          <w:kern w:val="2"/>
          <w:sz w:val="24"/>
          <w:szCs w:val="24"/>
          <w:highlight w:val="none"/>
          <w:lang w:val="en-US" w:eastAsia="zh-CN" w:bidi="ar-SA"/>
        </w:rPr>
      </w:pPr>
      <w:bookmarkStart w:id="1003" w:name="_Toc3099"/>
      <w:bookmarkStart w:id="1004" w:name="_Toc6785"/>
      <w:bookmarkStart w:id="1005" w:name="_Toc5869_WPSOffice_Level2"/>
      <w:bookmarkStart w:id="1006" w:name="_Toc10314"/>
      <w:bookmarkStart w:id="1007" w:name="_Toc27469"/>
      <w:bookmarkStart w:id="1008" w:name="_Toc1684"/>
      <w:bookmarkStart w:id="1009" w:name="_Toc28932"/>
      <w:bookmarkStart w:id="1010" w:name="_Toc308188201"/>
      <w:bookmarkStart w:id="1011" w:name="_Toc1839"/>
      <w:bookmarkStart w:id="1012" w:name="_Toc29864"/>
      <w:bookmarkStart w:id="1013" w:name="_Toc319439948"/>
      <w:bookmarkStart w:id="1014" w:name="_Toc307501157"/>
      <w:bookmarkStart w:id="1015" w:name="_Toc319440192"/>
      <w:bookmarkStart w:id="1016" w:name="_Toc12025"/>
      <w:bookmarkStart w:id="1017" w:name="_Toc32159"/>
      <w:bookmarkStart w:id="1018" w:name="_Toc1541"/>
      <w:bookmarkStart w:id="1019" w:name="_Toc327196343"/>
      <w:bookmarkStart w:id="1020" w:name="_Toc308084648"/>
      <w:bookmarkStart w:id="1021" w:name="_Toc309897566"/>
      <w:bookmarkStart w:id="1022" w:name="_Toc307564899"/>
      <w:bookmarkStart w:id="1023" w:name="_Toc23360"/>
      <w:bookmarkStart w:id="1024" w:name="_Toc217446060"/>
      <w:bookmarkStart w:id="1025" w:name="_Toc217446099"/>
      <w:r>
        <w:rPr>
          <w:rFonts w:hint="eastAsia" w:ascii="宋体" w:hAnsi="宋体" w:eastAsia="宋体" w:cstheme="minorBidi"/>
          <w:b/>
          <w:color w:val="auto"/>
          <w:kern w:val="2"/>
          <w:sz w:val="24"/>
          <w:szCs w:val="24"/>
          <w:highlight w:val="none"/>
          <w:lang w:val="en-US" w:eastAsia="zh-CN" w:bidi="ar-SA"/>
        </w:rPr>
        <w:t>项目概述</w:t>
      </w:r>
      <w:bookmarkEnd w:id="1003"/>
      <w:bookmarkEnd w:id="1004"/>
      <w:bookmarkEnd w:id="1005"/>
      <w:bookmarkEnd w:id="1006"/>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lang w:val="en-US" w:eastAsia="zh-CN"/>
        </w:rPr>
        <w:t>成都市技师学院(成都工贸职业技术学院)为响应国家号召、适应行业需求、促进学校发展的建设内容，主要完成专用的台式图形工作站、专用移动图形工作站、配套专用操作台、相关信息系统集成配套设施以及BIM相关专业软件的采购，建设人才实训基地，培养高技能人才，开展企业员工培训，服务地方经济。</w:t>
      </w:r>
    </w:p>
    <w:p>
      <w:pPr>
        <w:keepNext w:val="0"/>
        <w:keepLines w:val="0"/>
        <w:pageBreakBefore w:val="0"/>
        <w:widowControl w:val="0"/>
        <w:numPr>
          <w:ilvl w:val="1"/>
          <w:numId w:val="27"/>
        </w:numPr>
        <w:kinsoku/>
        <w:wordWrap w:val="0"/>
        <w:overflowPunct/>
        <w:topLinePunct/>
        <w:autoSpaceDE/>
        <w:autoSpaceDN/>
        <w:bidi w:val="0"/>
        <w:adjustRightInd w:val="0"/>
        <w:snapToGrid w:val="0"/>
        <w:spacing w:line="440" w:lineRule="exact"/>
        <w:ind w:left="0" w:firstLine="482" w:firstLineChars="200"/>
        <w:jc w:val="left"/>
        <w:textAlignment w:val="auto"/>
        <w:outlineLvl w:val="1"/>
        <w:rPr>
          <w:rFonts w:hint="eastAsia" w:ascii="宋体" w:hAnsi="宋体" w:eastAsia="宋体" w:cstheme="minorBidi"/>
          <w:b/>
          <w:color w:val="auto"/>
          <w:kern w:val="2"/>
          <w:sz w:val="24"/>
          <w:szCs w:val="24"/>
          <w:highlight w:val="none"/>
          <w:lang w:val="en-US" w:eastAsia="zh-CN" w:bidi="ar-SA"/>
        </w:rPr>
      </w:pPr>
      <w:bookmarkStart w:id="1026" w:name="_Toc32430"/>
      <w:bookmarkStart w:id="1027" w:name="_Toc953"/>
      <w:bookmarkStart w:id="1028" w:name="_Toc2567_WPSOffice_Level2"/>
      <w:bookmarkStart w:id="1029" w:name="_Toc25039"/>
      <w:r>
        <w:rPr>
          <w:rFonts w:hint="eastAsia" w:ascii="宋体" w:hAnsi="宋体" w:eastAsia="宋体" w:cstheme="minorBidi"/>
          <w:b/>
          <w:color w:val="auto"/>
          <w:kern w:val="2"/>
          <w:sz w:val="24"/>
          <w:szCs w:val="24"/>
          <w:highlight w:val="none"/>
          <w:lang w:val="en-US" w:eastAsia="zh-CN" w:bidi="ar-SA"/>
        </w:rPr>
        <w:t>本项目核心产品</w:t>
      </w:r>
      <w:bookmarkEnd w:id="1026"/>
      <w:bookmarkEnd w:id="1027"/>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本项目的核心产品为：</w:t>
      </w:r>
      <w:r>
        <w:rPr>
          <w:rFonts w:hint="eastAsia" w:ascii="宋体" w:hAnsi="宋体" w:eastAsia="宋体"/>
          <w:b/>
          <w:bCs/>
          <w:color w:val="auto"/>
          <w:highlight w:val="none"/>
          <w:lang w:val="en-US" w:eastAsia="zh-CN"/>
        </w:rPr>
        <w:t>BIM算量软件</w:t>
      </w:r>
      <w:r>
        <w:rPr>
          <w:rFonts w:hint="eastAsia"/>
          <w:b/>
          <w:bCs/>
          <w:color w:val="auto"/>
          <w:highlight w:val="none"/>
          <w:lang w:val="en-US" w:eastAsia="zh-CN"/>
        </w:rPr>
        <w:t>、BIM施工场布软件</w:t>
      </w:r>
      <w:r>
        <w:rPr>
          <w:rFonts w:hint="eastAsia" w:ascii="宋体" w:hAnsi="宋体" w:eastAsia="宋体"/>
          <w:color w:val="auto"/>
          <w:highlight w:val="none"/>
          <w:lang w:val="en-US" w:eastAsia="zh-CN"/>
        </w:rPr>
        <w:t>，若为相同品牌产品按招标文件第二章规定执行。</w:t>
      </w:r>
    </w:p>
    <w:p>
      <w:pPr>
        <w:keepNext w:val="0"/>
        <w:keepLines w:val="0"/>
        <w:pageBreakBefore w:val="0"/>
        <w:widowControl w:val="0"/>
        <w:numPr>
          <w:ilvl w:val="1"/>
          <w:numId w:val="27"/>
        </w:numPr>
        <w:kinsoku/>
        <w:wordWrap w:val="0"/>
        <w:overflowPunct/>
        <w:topLinePunct/>
        <w:autoSpaceDE/>
        <w:autoSpaceDN/>
        <w:bidi w:val="0"/>
        <w:adjustRightInd w:val="0"/>
        <w:snapToGrid w:val="0"/>
        <w:spacing w:line="440" w:lineRule="exact"/>
        <w:ind w:left="0" w:firstLine="482" w:firstLineChars="200"/>
        <w:jc w:val="left"/>
        <w:textAlignment w:val="auto"/>
        <w:outlineLvl w:val="1"/>
        <w:rPr>
          <w:rFonts w:hint="eastAsia" w:ascii="宋体" w:hAnsi="宋体" w:eastAsia="宋体" w:cstheme="minorBidi"/>
          <w:b/>
          <w:color w:val="auto"/>
          <w:kern w:val="2"/>
          <w:sz w:val="24"/>
          <w:szCs w:val="24"/>
          <w:highlight w:val="none"/>
          <w:lang w:val="en-US" w:eastAsia="zh-CN" w:bidi="ar-SA"/>
        </w:rPr>
      </w:pPr>
      <w:bookmarkStart w:id="1030" w:name="_Toc22954"/>
      <w:bookmarkStart w:id="1031" w:name="_Toc16552"/>
      <w:r>
        <w:rPr>
          <w:rFonts w:hint="eastAsia" w:ascii="宋体" w:hAnsi="宋体" w:eastAsia="宋体" w:cstheme="minorBidi"/>
          <w:b/>
          <w:color w:val="auto"/>
          <w:kern w:val="2"/>
          <w:sz w:val="24"/>
          <w:szCs w:val="24"/>
          <w:highlight w:val="none"/>
          <w:lang w:val="en-US" w:eastAsia="zh-CN" w:bidi="ar-SA"/>
        </w:rPr>
        <w:t>采购清单</w:t>
      </w:r>
      <w:bookmarkEnd w:id="1028"/>
      <w:bookmarkEnd w:id="1029"/>
      <w:bookmarkEnd w:id="1030"/>
      <w:bookmarkEnd w:id="1031"/>
    </w:p>
    <w:tbl>
      <w:tblPr>
        <w:tblStyle w:val="19"/>
        <w:tblW w:w="4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288"/>
        <w:gridCol w:w="1541"/>
        <w:gridCol w:w="15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b/>
                <w:bCs/>
                <w:color w:val="auto"/>
                <w:sz w:val="21"/>
                <w:szCs w:val="21"/>
                <w:highlight w:val="none"/>
              </w:rPr>
            </w:pPr>
            <w:bookmarkStart w:id="1032" w:name="_Toc12968"/>
            <w:r>
              <w:rPr>
                <w:rFonts w:hint="eastAsia" w:ascii="宋体" w:hAnsi="宋体" w:eastAsia="宋体" w:cs="宋体"/>
                <w:b/>
                <w:bCs/>
                <w:color w:val="auto"/>
                <w:sz w:val="21"/>
                <w:szCs w:val="21"/>
                <w:highlight w:val="none"/>
              </w:rPr>
              <w:t>序号</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采购设备名称</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375"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台式图形工作工作站</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移动式图形工作站</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4"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台式工作站操作台</w:t>
            </w:r>
          </w:p>
        </w:tc>
        <w:tc>
          <w:tcPr>
            <w:tcW w:w="878"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48</w:t>
            </w:r>
          </w:p>
        </w:tc>
        <w:tc>
          <w:tcPr>
            <w:tcW w:w="887"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c>
          <w:tcPr>
            <w:tcW w:w="1375" w:type="pct"/>
            <w:vAlign w:val="center"/>
          </w:tcPr>
          <w:p>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4"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教师中控讲台</w:t>
            </w:r>
          </w:p>
        </w:tc>
        <w:tc>
          <w:tcPr>
            <w:tcW w:w="878"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87"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5</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widowControl/>
              <w:kinsoku/>
              <w:wordWrap/>
              <w:overflowPunct/>
              <w:topLinePunct w:val="0"/>
              <w:bidi w:val="0"/>
              <w:adjustRightInd w:val="0"/>
              <w:spacing w:line="3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6</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无线手持话筒</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鹅颈话筒</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扩声音箱</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375" w:type="pct"/>
            <w:vAlign w:val="center"/>
          </w:tcPr>
          <w:p>
            <w:pPr>
              <w:widowControl w:val="0"/>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静电地板</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平方</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机柜</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路由器</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无线路由器</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综合布线</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BIM算量软件</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节点</w:t>
            </w:r>
          </w:p>
        </w:tc>
        <w:tc>
          <w:tcPr>
            <w:tcW w:w="1375" w:type="pct"/>
            <w:vAlign w:val="center"/>
          </w:tcPr>
          <w:p>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BIM施工场布软件</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节点</w:t>
            </w:r>
          </w:p>
        </w:tc>
        <w:tc>
          <w:tcPr>
            <w:tcW w:w="1375" w:type="pct"/>
            <w:vAlign w:val="center"/>
          </w:tcPr>
          <w:p>
            <w:pPr>
              <w:pStyle w:val="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移动式工作站操作台</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75" w:type="pct"/>
            <w:vAlign w:val="center"/>
          </w:tcPr>
          <w:p>
            <w:pPr>
              <w:spacing w:line="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304"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综合实训操作台</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375" w:type="pct"/>
            <w:vAlign w:val="center"/>
          </w:tcPr>
          <w:p>
            <w:pPr>
              <w:spacing w:line="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19</w:t>
            </w:r>
          </w:p>
        </w:tc>
        <w:tc>
          <w:tcPr>
            <w:tcW w:w="1304" w:type="pct"/>
            <w:vAlign w:val="center"/>
          </w:tcPr>
          <w:p>
            <w:pPr>
              <w:keepNext w:val="0"/>
              <w:keepLines w:val="0"/>
              <w:pageBreakBefore w:val="0"/>
              <w:kinsoku/>
              <w:overflowPunct/>
              <w:topLinePunct w:val="0"/>
              <w:bidi w:val="0"/>
              <w:adjustRightInd w:val="0"/>
              <w:spacing w:line="320" w:lineRule="exact"/>
              <w:ind w:left="28" w:leftChars="0" w:right="28"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可移动白板</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个</w:t>
            </w:r>
          </w:p>
        </w:tc>
        <w:tc>
          <w:tcPr>
            <w:tcW w:w="1375" w:type="pct"/>
            <w:vAlign w:val="center"/>
          </w:tcPr>
          <w:p>
            <w:pPr>
              <w:spacing w:line="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vAlign w:val="center"/>
          </w:tcPr>
          <w:p>
            <w:pPr>
              <w:keepNext w:val="0"/>
              <w:keepLines w:val="0"/>
              <w:pageBreakBefore w:val="0"/>
              <w:kinsoku/>
              <w:wordWrap/>
              <w:overflowPunct/>
              <w:topLinePunct w:val="0"/>
              <w:bidi w:val="0"/>
              <w:adjustRightInd w:val="0"/>
              <w:spacing w:line="32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20</w:t>
            </w:r>
          </w:p>
        </w:tc>
        <w:tc>
          <w:tcPr>
            <w:tcW w:w="1304" w:type="pct"/>
            <w:vAlign w:val="center"/>
          </w:tcPr>
          <w:p>
            <w:pPr>
              <w:keepNext w:val="0"/>
              <w:keepLines w:val="0"/>
              <w:pageBreakBefore w:val="0"/>
              <w:kinsoku/>
              <w:overflowPunct/>
              <w:topLinePunct w:val="0"/>
              <w:bidi w:val="0"/>
              <w:adjustRightInd w:val="0"/>
              <w:spacing w:line="320" w:lineRule="exact"/>
              <w:ind w:left="28" w:leftChars="0" w:right="28"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储物柜(铁皮柜)</w:t>
            </w:r>
          </w:p>
        </w:tc>
        <w:tc>
          <w:tcPr>
            <w:tcW w:w="878" w:type="pct"/>
            <w:vAlign w:val="center"/>
          </w:tcPr>
          <w:p>
            <w:pPr>
              <w:keepNext w:val="0"/>
              <w:keepLines w:val="0"/>
              <w:pageBreakBefore w:val="0"/>
              <w:kinsoku/>
              <w:wordWrap/>
              <w:overflowPunct/>
              <w:topLinePunct w:val="0"/>
              <w:bidi w:val="0"/>
              <w:adjustRightInd w:val="0"/>
              <w:spacing w:line="32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887" w:type="pct"/>
            <w:vAlign w:val="center"/>
          </w:tcPr>
          <w:p>
            <w:pPr>
              <w:keepNext w:val="0"/>
              <w:keepLines w:val="0"/>
              <w:pageBreakBefore w:val="0"/>
              <w:kinsoku/>
              <w:wordWrap/>
              <w:overflowPunct/>
              <w:topLinePunct w:val="0"/>
              <w:bidi w:val="0"/>
              <w:adjustRightInd w:val="0"/>
              <w:spacing w:line="32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个</w:t>
            </w:r>
          </w:p>
        </w:tc>
        <w:tc>
          <w:tcPr>
            <w:tcW w:w="1375" w:type="pct"/>
            <w:vAlign w:val="center"/>
          </w:tcPr>
          <w:p>
            <w:pPr>
              <w:spacing w:line="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bl>
    <w:p>
      <w:pPr>
        <w:widowControl w:val="0"/>
        <w:numPr>
          <w:ilvl w:val="1"/>
          <w:numId w:val="27"/>
        </w:numPr>
        <w:wordWrap w:val="0"/>
        <w:topLinePunct/>
        <w:bidi w:val="0"/>
        <w:adjustRightInd w:val="0"/>
        <w:snapToGrid w:val="0"/>
        <w:spacing w:line="440" w:lineRule="exact"/>
        <w:ind w:left="0" w:firstLine="482" w:firstLineChars="200"/>
        <w:jc w:val="left"/>
        <w:outlineLvl w:val="1"/>
        <w:rPr>
          <w:rFonts w:hint="eastAsia" w:ascii="宋体" w:hAnsi="宋体" w:eastAsia="宋体" w:cstheme="minorBidi"/>
          <w:b/>
          <w:color w:val="auto"/>
          <w:kern w:val="2"/>
          <w:sz w:val="24"/>
          <w:szCs w:val="24"/>
          <w:highlight w:val="none"/>
          <w:lang w:val="en-US" w:eastAsia="zh-CN" w:bidi="ar-SA"/>
        </w:rPr>
      </w:pPr>
      <w:bookmarkStart w:id="1033" w:name="_Toc25388"/>
      <w:r>
        <w:rPr>
          <w:rFonts w:hint="eastAsia" w:ascii="宋体" w:hAnsi="宋体" w:eastAsia="宋体" w:cstheme="minorBidi"/>
          <w:b/>
          <w:color w:val="auto"/>
          <w:kern w:val="2"/>
          <w:sz w:val="24"/>
          <w:szCs w:val="24"/>
          <w:highlight w:val="none"/>
          <w:lang w:val="en-US" w:eastAsia="zh-CN" w:bidi="ar-SA"/>
        </w:rPr>
        <w:t>技术参数及功能要求</w:t>
      </w:r>
      <w:bookmarkEnd w:id="1032"/>
      <w:bookmarkEnd w:id="1033"/>
    </w:p>
    <w:tbl>
      <w:tblPr>
        <w:tblStyle w:val="1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60"/>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372" w:type="pct"/>
            <w:vAlign w:val="center"/>
          </w:tcPr>
          <w:p>
            <w:pPr>
              <w:pStyle w:val="32"/>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b/>
                <w:bCs/>
                <w:color w:val="auto"/>
                <w:sz w:val="21"/>
                <w:szCs w:val="21"/>
                <w:highlight w:val="none"/>
                <w:lang w:val="en-US" w:eastAsia="zh-CN"/>
              </w:rPr>
            </w:pPr>
            <w:bookmarkStart w:id="1034" w:name="_Toc6974"/>
            <w:bookmarkStart w:id="1035" w:name="_Toc8752_WPSOffice_Level2"/>
            <w:bookmarkStart w:id="1036" w:name="_Toc27497"/>
            <w:bookmarkStart w:id="1037" w:name="_Toc7101"/>
            <w:bookmarkStart w:id="1038" w:name="_Toc12739"/>
            <w:bookmarkStart w:id="1039" w:name="_Toc9683"/>
            <w:r>
              <w:rPr>
                <w:rFonts w:hint="eastAsia" w:ascii="宋体" w:hAnsi="宋体" w:eastAsia="宋体" w:cs="宋体"/>
                <w:b/>
                <w:bCs/>
                <w:color w:val="auto"/>
                <w:sz w:val="21"/>
                <w:szCs w:val="21"/>
                <w:highlight w:val="none"/>
                <w:lang w:val="en-US" w:eastAsia="zh-CN"/>
              </w:rPr>
              <w:t>序号</w:t>
            </w:r>
          </w:p>
        </w:tc>
        <w:tc>
          <w:tcPr>
            <w:tcW w:w="798" w:type="pct"/>
            <w:vAlign w:val="center"/>
          </w:tcPr>
          <w:p>
            <w:pPr>
              <w:pStyle w:val="32"/>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名称</w:t>
            </w:r>
          </w:p>
        </w:tc>
        <w:tc>
          <w:tcPr>
            <w:tcW w:w="3829" w:type="pct"/>
            <w:vAlign w:val="center"/>
          </w:tcPr>
          <w:p>
            <w:pPr>
              <w:pStyle w:val="32"/>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技术参数</w:t>
            </w:r>
            <w:r>
              <w:rPr>
                <w:rFonts w:hint="eastAsia" w:ascii="宋体" w:hAnsi="宋体" w:eastAsia="宋体" w:cs="宋体"/>
                <w:b/>
                <w:bCs/>
                <w:color w:val="auto"/>
                <w:sz w:val="21"/>
                <w:szCs w:val="21"/>
                <w:highlight w:val="none"/>
                <w:lang w:val="en-US" w:eastAsia="zh-CN"/>
              </w:rPr>
              <w:t>及功能要求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台式图形工作工作站</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一、主机</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1.★CPU：性能不低于Intel酷睿I7-10700。</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2.▲芯片组：性能不低于intel® W480。</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3.★内存：不少于4个DIMM插槽；内存不低于32G；最大支持128 GB3200 MHz。</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4.●硬盘：不低于256G SSD固态硬盘+1T机械硬盘硬盘，接口使用不少于两个M.2。</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5.●显卡：性能不低于NVIDIA P1000显卡，4G显存。</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6.●网络：集成：以太网连接I219-LM 10/100/1000。</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7.●端口：正面不少于2个USB 2.0 Type A 端口，1个USB3.2 Type A(5 Gb)端口，1个USB 3.2 Type C(10 Gb)端口，1个麦克风，1个3.5耳机端口背面，2个USB 2.0 Type A端口(带SmartPower功能)，2个USB 3.2 Type A (5 Gb)端口，2个USB 3.2 Type A(10 Gb)端口，2个PS2端口，2个DisplayPort端口，1个可选端口(VGA、HDMI2.0、DP1.2、Type C，支持DP-Alt模式)，1个RJ45网络接口，1个音频输出端口。</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8.●插槽：Thunderbolt™ 3 PCIe卡，串行和并行端口PCIe卡(全高)、第2代USB 3.2 Type CTM PCIe卡(全高)，USB 3.2 PCIe供电卡，远程访问主机卡，Tera2 具有预引导身份验证支持的智能卡读卡器 (CAC/PIV)。</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9.▲机箱：不低于20L机箱，机箱锁插槽支持，机箱防盗开关，D-Pedigree(安全供应链功能)，设置BIOS密码。</w:t>
            </w:r>
          </w:p>
          <w:p>
            <w:pPr>
              <w:keepNext w:val="0"/>
              <w:keepLines w:val="0"/>
              <w:pageBreakBefore w:val="0"/>
              <w:widowControl w:val="0"/>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10.●操作系统：原厂预装正版操作系统。</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11.●软件：自带原厂数据备份、恢复、优化和保护软件。</w:t>
            </w:r>
          </w:p>
          <w:p>
            <w:pPr>
              <w:keepNext w:val="0"/>
              <w:keepLines w:val="0"/>
              <w:pageBreakBefore w:val="0"/>
              <w:widowControl w:val="0"/>
              <w:kinsoku/>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12.★具有认证机构出具的强制性产品3C认证证书(提供证书复印件或强制性认证产品符合性自我声明复印件)。</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13.★具有国家</w:t>
            </w:r>
            <w:r>
              <w:rPr>
                <w:rFonts w:hint="eastAsia" w:cs="宋体"/>
                <w:color w:val="auto"/>
                <w:sz w:val="21"/>
                <w:szCs w:val="21"/>
                <w:highlight w:val="none"/>
                <w:lang w:val="en-US" w:eastAsia="zh-CN"/>
              </w:rPr>
              <w:t>认可</w:t>
            </w:r>
            <w:r>
              <w:rPr>
                <w:rFonts w:hint="eastAsia" w:ascii="宋体" w:hAnsi="宋体" w:eastAsia="宋体" w:cs="宋体"/>
                <w:color w:val="auto"/>
                <w:sz w:val="21"/>
                <w:szCs w:val="21"/>
                <w:highlight w:val="none"/>
              </w:rPr>
              <w:t>的认证机构出具的节能产品认证证书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w:t>
            </w:r>
            <w:r>
              <w:rPr>
                <w:rFonts w:hint="eastAsia" w:ascii="宋体" w:hAnsi="宋体" w:eastAsia="宋体" w:cs="宋体"/>
                <w:color w:val="auto"/>
                <w:sz w:val="21"/>
                <w:szCs w:val="21"/>
                <w:highlight w:val="none"/>
                <w:lang w:eastAsia="zh-CN"/>
              </w:rPr>
              <w:t>)。</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二、显示器</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1.★液晶显示器：≥21.5英寸显示器，分辨率≥1920×1080，响应时间≤2ms，亮度≥250cd/㎡，底座可俯仰每一个主机配置两个屏幕。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2.★具有国家</w:t>
            </w:r>
            <w:r>
              <w:rPr>
                <w:rFonts w:hint="eastAsia" w:cs="宋体"/>
                <w:color w:val="auto"/>
                <w:sz w:val="21"/>
                <w:szCs w:val="21"/>
                <w:highlight w:val="none"/>
                <w:lang w:val="en-US" w:eastAsia="zh-CN"/>
              </w:rPr>
              <w:t>认可的</w:t>
            </w:r>
            <w:r>
              <w:rPr>
                <w:rFonts w:hint="eastAsia" w:ascii="宋体" w:hAnsi="宋体" w:eastAsia="宋体" w:cs="宋体"/>
                <w:color w:val="auto"/>
                <w:sz w:val="21"/>
                <w:szCs w:val="21"/>
                <w:highlight w:val="none"/>
              </w:rPr>
              <w:t>认证机构出具的强制性产品</w:t>
            </w:r>
            <w:r>
              <w:rPr>
                <w:rFonts w:hint="eastAsia" w:ascii="宋体" w:hAnsi="宋体" w:eastAsia="宋体" w:cs="宋体"/>
                <w:color w:val="auto"/>
                <w:sz w:val="21"/>
                <w:szCs w:val="21"/>
                <w:highlight w:val="none"/>
                <w:lang w:val="en-US" w:eastAsia="zh-CN"/>
              </w:rPr>
              <w:t>3C</w:t>
            </w:r>
            <w:r>
              <w:rPr>
                <w:rFonts w:hint="eastAsia" w:ascii="宋体" w:hAnsi="宋体" w:eastAsia="宋体" w:cs="宋体"/>
                <w:color w:val="auto"/>
                <w:sz w:val="21"/>
                <w:szCs w:val="21"/>
                <w:highlight w:val="none"/>
              </w:rPr>
              <w:t>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w:t>
            </w:r>
            <w:r>
              <w:rPr>
                <w:rFonts w:hint="eastAsia" w:ascii="宋体" w:hAnsi="宋体" w:eastAsia="宋体" w:cs="宋体"/>
                <w:color w:val="auto"/>
                <w:kern w:val="2"/>
                <w:sz w:val="21"/>
                <w:szCs w:val="21"/>
                <w:highlight w:val="none"/>
                <w:lang w:val="en-US" w:eastAsia="zh-CN" w:bidi="ar-SA"/>
              </w:rPr>
              <w:t>或强制性认证产品符合性自我声明复印件</w:t>
            </w:r>
            <w:r>
              <w:rPr>
                <w:rFonts w:hint="eastAsia" w:ascii="宋体" w:hAnsi="宋体" w:eastAsia="宋体" w:cs="宋体"/>
                <w:color w:val="auto"/>
                <w:sz w:val="21"/>
                <w:szCs w:val="21"/>
                <w:highlight w:val="none"/>
                <w:lang w:eastAsia="zh-CN"/>
              </w:rPr>
              <w:t>)。</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3.★具有国家</w:t>
            </w:r>
            <w:r>
              <w:rPr>
                <w:rFonts w:hint="eastAsia" w:cs="宋体"/>
                <w:color w:val="auto"/>
                <w:sz w:val="21"/>
                <w:szCs w:val="21"/>
                <w:highlight w:val="none"/>
                <w:lang w:val="en-US" w:eastAsia="zh-CN"/>
              </w:rPr>
              <w:t>认可的</w:t>
            </w:r>
            <w:r>
              <w:rPr>
                <w:rFonts w:hint="eastAsia" w:ascii="宋体" w:hAnsi="宋体" w:eastAsia="宋体" w:cs="宋体"/>
                <w:color w:val="auto"/>
                <w:sz w:val="21"/>
                <w:szCs w:val="21"/>
                <w:highlight w:val="none"/>
              </w:rPr>
              <w:t>认证机构出具的节能产品认证证书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三、管理系统</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1.●安装部署： </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(1)支持快捷系统部署，用户可以自定义参数，让程序自动执行安装，真正地做到无人值守安装；</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(2)安装部署方便，免拆机，免插卡，不需要重新分区；</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(3)支持Windows全系列系统(server 2008-2016、xp、Win7、Win8、Win10等)。</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(4)支持Wifi无线网络环境。</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2.●还原卡软件支持网络同传技术：</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(1)支持网络同传技术，可以快速部署整个机房，百兆网络速度可达600～800MB/min，千兆网络速度可达3～7GB/min；</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(2)网络同传内建了PXE Server，用户可以自定义修改发送端和接收端对拷的IP、DNS和子网等信息，并且同传设置之参数给接收端；</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(3)网络同传支持U盘、光盘和PXE等多种方式引导；</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络同传支持批量修改接收端电脑的电脑名、IP、DNS、加入\退出域操作及操作系统、office的联网认证；支持断点续传，同步电脑时间、远端开关机\重启、限定对拷网络同传的速度；对接收端电脑没有台数限制；对拷没有操作系统的限制；支持对拷后第一次进Windows系统时自定义执行相关程序，满足本机差异化的需求；</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(5)支持对多还原点的网络同传，对拷完毕后的接收端电脑切换还原点时，电脑名、IP、DNS等信息不会与发送端电脑冲突。</w:t>
            </w:r>
            <w:r>
              <w:rPr>
                <w:rFonts w:hint="eastAsia" w:ascii="宋体" w:hAnsi="宋体" w:eastAsia="宋体" w:cs="宋体"/>
                <w:color w:val="auto"/>
                <w:sz w:val="21"/>
                <w:szCs w:val="21"/>
                <w:highlight w:val="none"/>
              </w:rPr>
              <w:tab/>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3.●本地备份/恢复技术：可备份硬盘数据及所创建的还原点数据，可以一对多进行恢复硬盘数据及还原点数据，在恢复的过程中可以批量设置接收硬盘的电脑名、IP、DNS等信息及进行正版系统及软件认证。</w:t>
            </w:r>
            <w:r>
              <w:rPr>
                <w:rFonts w:hint="eastAsia" w:ascii="宋体" w:hAnsi="宋体" w:eastAsia="宋体" w:cs="宋体"/>
                <w:color w:val="auto"/>
                <w:sz w:val="21"/>
                <w:szCs w:val="21"/>
                <w:highlight w:val="none"/>
              </w:rPr>
              <w:tab/>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还原保护技术：支持不改变微软原版操作系统带隐藏小分区的保护，产品安装无需重新分区；支持及时还原、自动保留、定时还原，管理端支持对客户端的这些还原保护参数进行批量的设定；支持对保护分区剩余空间的监视，当空间不足时会自动提示用户。</w:t>
            </w:r>
            <w:r>
              <w:rPr>
                <w:rFonts w:hint="eastAsia" w:ascii="宋体" w:hAnsi="宋体" w:eastAsia="宋体" w:cs="宋体"/>
                <w:color w:val="auto"/>
                <w:sz w:val="21"/>
                <w:szCs w:val="21"/>
                <w:highlight w:val="none"/>
              </w:rPr>
              <w:tab/>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远端维护技术：对客户端电脑的监看，支持轮流监看及自定义监看窗口的缩放比例；对客户端电脑的遥控，支持群组遥控、锁定客户端键鼠、传送资料、截屏及剪切簿同步操作；支持对未登录的客户端执行远程登录的功能，不需要跑到客户端本地去执行登录。支持被控端搜索的功能，即使在客户端安装的时候没有设置管理端通信方式，也能够把在同一局域网内的所有客户端搜索到并抓取到该管理端；支持批量注册。</w:t>
            </w:r>
            <w:r>
              <w:rPr>
                <w:rFonts w:hint="eastAsia" w:ascii="宋体" w:hAnsi="宋体" w:eastAsia="宋体" w:cs="宋体"/>
                <w:color w:val="auto"/>
                <w:sz w:val="21"/>
                <w:szCs w:val="21"/>
                <w:highlight w:val="none"/>
              </w:rPr>
              <w:tab/>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6.●还原模式保护切换技术：支持及时还原、不还原、自动创建还原点及周期还原保护的设定，设定后立即生效，无需重启电脑，真正做到高效管理的目的。</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7.●剩余空间警戒技术：用户可随时自定义设定保护分区的剩余空间警戒值，当空间占用不足时，还原系统会自动绘制磁盘空间占用图案给用户，提示用户此台电脑空间占用明细。</w:t>
            </w:r>
          </w:p>
          <w:p>
            <w:pPr>
              <w:keepNext w:val="0"/>
              <w:keepLines w:val="0"/>
              <w:pageBreakBefore w:val="0"/>
              <w:widowControl w:val="0"/>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四、多媒体教学管理软件</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1.★屏幕广播：支持将教师机屏幕和教师讲话实时广播给单一、部分或全体学生，可选择全屏或窗口方式。窗口模式下或教师机与学生机分辨率不同情况下，学生机可以以不同的窗口方式接收广播。</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2.▲扩展屏广播模式：教师机连接两个显示器，可在广播时选择将任意一个显示器的内容广播到学生机。</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3.●屏幕广播速度增强：屏幕广播时支持多种画面质量的调节，根据网络的不同选择最好的效果进行教学。</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4.●屏幕笔：教师教学使用的辅助工具，突出显示项目、添加注释，添加批注等等。</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5.▲网络影院：采用流媒体技术，实现教师机播放的视频同步广播到学生机，且达到流畅无延时，支持几乎所有常见的媒体音视频格式(Windows Media文件、VCD文件、DVD文件、Real文件、AVI文件、MP3等主流文件格式、支持720p、1080p的高清视频)。</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6.●视频直播：通过USB摄像头将教师的画面实时广播到学生机，达到更形象的教学效果，具有引导客户选择视频设备的提示画面，以便客户快速完成摄像头设备的设置。</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7.●语音广播：将教师机麦克风或其他输入设备(如磁带、CD)的声音广播给学生，教学过程中，可以请任何一位已登录的学生发言，其他学生和教师收听该学生发言。</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8.●语音对讲：教师可以选择任意一名已登录学生与其进行双向语音交谈，除教师和此学生外，其他学生不会受到干扰，可以动态切换对讲对象。</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9.●学生演示：教师可选定一台学生机作为示范，由此学生代替教师进行示范教学。</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10.▲分组教学：教师分派组长执行指定的功能，组长代替教师进行小组教学，小组不需要再临时创建，可以直接使用既有分组信息，教师可以监控每个分组的教学过程，以了解分组教学的进度。</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11.▲分组讨论：教师可以创建多个小组进行讨论活动，并可任意选择分组加入讨论活动。同组师生支持多种方式进行交流，包括文字，表情，图片等。</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12.●屏幕录制：教师机可以将本地的操作和讲解过程录制为ASF录像文件，可以用Windows自带的 Media Player 直接播放。</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13.●学生端屏幕录制、回放：学生端接收教师端广播的时候可以自动录制教师机广播教学的过程，课后可以重复观看学习。</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14.●文件分发：允许教师将教师机不同盘符中的目录或文件一起发送至生机的某目录下。目录不存在自动新建此目录；盘符不存在或路径非法不允许分发；文件已存在选择自动覆盖或保留原始文件。</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16.●网络快照：教师可以在监控学生的时候，对学生画面拍快照，保存学生画面的截图。</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17.●屏幕监视：教师机可以监视单一、部分、全体学生机的屏幕，教师机每屏可监视多个学生屏幕(最多36个)。可以控制教师机监控的同屏幕各窗口间、屏幕与屏幕间的切换速度。可手动或自动循环监视。</w:t>
            </w:r>
          </w:p>
          <w:p>
            <w:pPr>
              <w:keepNext w:val="0"/>
              <w:keepLines w:val="0"/>
              <w:pageBreakBefore w:val="0"/>
              <w:kinsoku/>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18.●多频道教学：支持多达32个频道的划分，一个教师可对单个班级或多个班级同时上课；多个教师可同时对多个班级进行不同内容的教学。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移动式图形工作站</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1.★CPU：性能不低于10代英特尔® 酷睿™i7-10850H处理器。</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2.●芯片组：性能不低于Intel Mobile WM490。</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3.▲屏幕：≥1920×1080全高清屏(100% sRGB color gamut) with Premier Color窄边框。单台另配套：不低于23.8寸外接显示器1个(含匹配显示器的转接线)，防泼溅键盘1个，鼠标2个(其中，1个为无线鼠标)、鼠标垫1个。</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4.▲内存：不低于32GB， 1X32GB， DDR4 2933Mhz 非-ECC 内存</w:t>
            </w:r>
            <w:r>
              <w:rPr>
                <w:rFonts w:hint="eastAsia" w:ascii="宋体" w:hAnsi="宋体" w:eastAsia="宋体" w:cs="宋体"/>
                <w:color w:val="auto"/>
                <w:sz w:val="21"/>
                <w:szCs w:val="21"/>
                <w:highlight w:val="none"/>
                <w:lang w:eastAsia="zh-CN"/>
              </w:rPr>
              <w:t>。</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5.▲硬盘：性能不低于512G SSD+1T机械硬盘</w:t>
            </w:r>
            <w:r>
              <w:rPr>
                <w:rFonts w:hint="eastAsia" w:ascii="宋体" w:hAnsi="宋体" w:eastAsia="宋体" w:cs="宋体"/>
                <w:color w:val="auto"/>
                <w:sz w:val="21"/>
                <w:szCs w:val="21"/>
                <w:highlight w:val="none"/>
                <w:lang w:eastAsia="zh-CN"/>
              </w:rPr>
              <w:t>。</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6.●显卡：性能不低于Nvidia Quadro P620，4G DDR5显卡。</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7.●网络：无线网络：英特尔 Wi-Fi 6 2×2 + 蓝牙5.0。</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8.●接口：≥10/100/1000M以太网RJ-45，HDMI，USB 3.2 Gen1≥3(至少一个支持电源共享)。</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10.●电池：≥原装锂电池，容量≥68瓦时；≥4芯锂电池；支持ExpressCharge™(快速充电)技术。</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11.●重量：≤1.89KG。</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12.●操作系统：原厂预装正版操作系统。</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13.●安全性：可信平台模块FTPM、机箱锁插槽支持。</w:t>
            </w:r>
          </w:p>
          <w:p>
            <w:pPr>
              <w:keepNext w:val="0"/>
              <w:keepLines w:val="0"/>
              <w:pageBreakBefore w:val="0"/>
              <w:widowControl w:val="0"/>
              <w:kinsoku/>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14.★具有</w:t>
            </w:r>
            <w:r>
              <w:rPr>
                <w:rFonts w:hint="eastAsia" w:ascii="宋体" w:hAnsi="宋体" w:eastAsia="宋体" w:cs="宋体"/>
                <w:color w:val="auto"/>
                <w:sz w:val="21"/>
                <w:szCs w:val="21"/>
                <w:highlight w:val="none"/>
              </w:rPr>
              <w:t>国家</w:t>
            </w:r>
            <w:r>
              <w:rPr>
                <w:rFonts w:hint="eastAsia" w:cs="宋体"/>
                <w:color w:val="auto"/>
                <w:sz w:val="21"/>
                <w:szCs w:val="21"/>
                <w:highlight w:val="none"/>
                <w:lang w:val="en-US" w:eastAsia="zh-CN"/>
              </w:rPr>
              <w:t>认可的</w:t>
            </w:r>
            <w:r>
              <w:rPr>
                <w:rFonts w:hint="eastAsia" w:ascii="宋体" w:hAnsi="宋体" w:eastAsia="宋体" w:cs="宋体"/>
                <w:color w:val="auto"/>
                <w:kern w:val="2"/>
                <w:sz w:val="21"/>
                <w:szCs w:val="21"/>
                <w:highlight w:val="none"/>
                <w:lang w:val="en-US" w:eastAsia="zh-CN" w:bidi="ar-SA"/>
              </w:rPr>
              <w:t>认证机构出具的强制性产品3C认证证书(提供证书复印件或强制性认证产品符合性自我声明复印件)。</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.★具有国家</w:t>
            </w:r>
            <w:r>
              <w:rPr>
                <w:rFonts w:hint="eastAsia" w:cs="宋体"/>
                <w:color w:val="auto"/>
                <w:sz w:val="21"/>
                <w:szCs w:val="21"/>
                <w:highlight w:val="none"/>
                <w:lang w:val="en-US" w:eastAsia="zh-CN"/>
              </w:rPr>
              <w:t>认可的</w:t>
            </w:r>
            <w:r>
              <w:rPr>
                <w:rFonts w:hint="eastAsia" w:ascii="宋体" w:hAnsi="宋体" w:eastAsia="宋体" w:cs="宋体"/>
                <w:color w:val="auto"/>
                <w:sz w:val="21"/>
                <w:szCs w:val="21"/>
                <w:highlight w:val="none"/>
              </w:rPr>
              <w:t>认证机构出具的节能产品认证证书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3</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台式工作站操作台</w:t>
            </w:r>
          </w:p>
        </w:tc>
        <w:tc>
          <w:tcPr>
            <w:tcW w:w="3829" w:type="pct"/>
            <w:vAlign w:val="center"/>
          </w:tcPr>
          <w:p>
            <w:pPr>
              <w:keepNext w:val="0"/>
              <w:keepLines w:val="0"/>
              <w:pageBreakBefore w:val="0"/>
              <w:widowControl w:val="0"/>
              <w:shd w:val="clear"/>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1.●尺寸：长1100mm×500mm×700mm</w:t>
            </w:r>
            <w:r>
              <w:rPr>
                <w:rFonts w:hint="eastAsia" w:cs="宋体"/>
                <w:color w:val="auto"/>
                <w:kern w:val="2"/>
                <w:sz w:val="21"/>
                <w:szCs w:val="21"/>
                <w:highlight w:val="none"/>
                <w:shd w:val="clear" w:color="auto" w:fill="auto"/>
                <w:lang w:val="en-US" w:eastAsia="zh-CN" w:bidi="ar-SA"/>
              </w:rPr>
              <w:t>(±5mm)</w:t>
            </w:r>
            <w:r>
              <w:rPr>
                <w:rFonts w:hint="eastAsia" w:ascii="宋体" w:hAnsi="宋体" w:eastAsia="宋体" w:cs="宋体"/>
                <w:color w:val="auto"/>
                <w:kern w:val="2"/>
                <w:sz w:val="21"/>
                <w:szCs w:val="21"/>
                <w:highlight w:val="none"/>
                <w:shd w:val="clear" w:color="auto" w:fill="auto"/>
                <w:lang w:val="en-US" w:eastAsia="zh-CN" w:bidi="ar-SA"/>
              </w:rPr>
              <w:t>，其主体结构为钢结构。电脑放置处有厚度≥0.6mm冷轧钢板，并固定在支架上；所有钢管要求做防锈喷漆处理；脚垫：内垫，防脱落处理。</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2.●台面≥25mm中纤板。收边：封边为优质PVC封边胶带(厚度≥2mm)。内材：经过防虫、防腐的化学处理其指标均达到国家E1级标准。</w:t>
            </w:r>
          </w:p>
          <w:p>
            <w:pPr>
              <w:keepNext w:val="0"/>
              <w:keepLines w:val="0"/>
              <w:pageBreakBefore w:val="0"/>
              <w:widowControl w:val="0"/>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3.●配套钢制结构网布座椅，尺寸≥500mm×550mm×900mm。</w:t>
            </w:r>
          </w:p>
          <w:p>
            <w:pPr>
              <w:keepNext w:val="0"/>
              <w:keepLines w:val="0"/>
              <w:pageBreakBefore w:val="0"/>
              <w:kinsoku/>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操作台布置及形式参照图</w:t>
            </w:r>
            <w:r>
              <w:rPr>
                <w:rFonts w:hint="eastAsia" w:ascii="宋体" w:hAnsi="宋体" w:eastAsia="宋体" w:cs="宋体"/>
                <w:color w:val="auto"/>
                <w:sz w:val="21"/>
                <w:szCs w:val="21"/>
                <w:highlight w:val="none"/>
                <w:lang w:val="en-US" w:eastAsia="zh-CN"/>
              </w:rPr>
              <w:t>(仅供参考)</w:t>
            </w:r>
          </w:p>
          <w:p>
            <w:pPr>
              <w:keepNext w:val="0"/>
              <w:keepLines w:val="0"/>
              <w:pageBreakBefore w:val="0"/>
              <w:widowControl w:val="0"/>
              <w:kinsoku/>
              <w:wordWrap/>
              <w:overflowPunct/>
              <w:topLinePunct w:val="0"/>
              <w:autoSpaceDE/>
              <w:autoSpaceDN/>
              <w:bidi w:val="0"/>
              <w:adjustRightInd w:val="0"/>
              <w:snapToGrid w:val="0"/>
              <w:spacing w:line="240" w:lineRule="auto"/>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0" distR="0">
                  <wp:extent cx="2223770" cy="1500505"/>
                  <wp:effectExtent l="0" t="0" r="5080" b="4445"/>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19" cstate="print"/>
                          <a:srcRect/>
                          <a:stretch>
                            <a:fillRect/>
                          </a:stretch>
                        </pic:blipFill>
                        <pic:spPr>
                          <a:xfrm>
                            <a:off x="0" y="0"/>
                            <a:ext cx="2223770" cy="1500505"/>
                          </a:xfrm>
                          <a:prstGeom prst="rect">
                            <a:avLst/>
                          </a:prstGeom>
                          <a:ln>
                            <a:noFill/>
                          </a:ln>
                        </pic:spPr>
                      </pic:pic>
                    </a:graphicData>
                  </a:graphic>
                </wp:inline>
              </w:drawing>
            </w:r>
            <w:r>
              <w:rPr>
                <w:rFonts w:hint="eastAsia" w:ascii="宋体" w:hAnsi="宋体" w:eastAsia="宋体" w:cs="宋体"/>
                <w:color w:val="auto"/>
                <w:sz w:val="21"/>
                <w:szCs w:val="21"/>
                <w:highlight w:val="none"/>
              </w:rPr>
              <w:drawing>
                <wp:inline distT="0" distB="0" distL="0" distR="0">
                  <wp:extent cx="1065530" cy="1501140"/>
                  <wp:effectExtent l="0" t="0" r="1270" b="3810"/>
                  <wp:docPr id="1027" name="图片 2" descr="BCC9D384037FB43B03B0F24F7939DD65"/>
                  <wp:cNvGraphicFramePr/>
                  <a:graphic xmlns:a="http://schemas.openxmlformats.org/drawingml/2006/main">
                    <a:graphicData uri="http://schemas.openxmlformats.org/drawingml/2006/picture">
                      <pic:pic xmlns:pic="http://schemas.openxmlformats.org/drawingml/2006/picture">
                        <pic:nvPicPr>
                          <pic:cNvPr id="1027" name="图片 2" descr="BCC9D384037FB43B03B0F24F7939DD65"/>
                          <pic:cNvPicPr/>
                        </pic:nvPicPr>
                        <pic:blipFill>
                          <a:blip r:embed="rId20" cstate="print"/>
                          <a:srcRect/>
                          <a:stretch>
                            <a:fillRect/>
                          </a:stretch>
                        </pic:blipFill>
                        <pic:spPr>
                          <a:xfrm>
                            <a:off x="0" y="0"/>
                            <a:ext cx="1065530" cy="15011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4</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教师中控讲台</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1.●外形尺寸：1200mm×750mm×1000mm</w:t>
            </w:r>
            <w:r>
              <w:rPr>
                <w:rFonts w:hint="eastAsia" w:cs="宋体"/>
                <w:color w:val="auto"/>
                <w:kern w:val="2"/>
                <w:sz w:val="21"/>
                <w:szCs w:val="21"/>
                <w:highlight w:val="none"/>
                <w:shd w:val="clear" w:color="auto" w:fill="auto"/>
                <w:lang w:val="en-US" w:eastAsia="zh-CN" w:bidi="ar-SA"/>
              </w:rPr>
              <w:t>(±5mm)。</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2.●材质：1.0mm～1.5mm SPCC冷轧碳素钢，整体采用分体式结构，上下两部分采用分体组装，耐磨性能好。</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3.●可安装17～23.8寸液晶显示器(显示器外框尺寸不超过480mm)，非气压杆设计，采用齿轮齿条，可任意在4个高度停留。键盘翻转式设计，可隐藏。</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4.●350mm×40mm×80mm(±2%)蛇型理线架；100×25国际标准弧形过线孔，即敲即用。</w:t>
            </w:r>
          </w:p>
          <w:p>
            <w:pPr>
              <w:keepNext w:val="0"/>
              <w:keepLines w:val="0"/>
              <w:pageBreakBefore w:val="0"/>
              <w:widowControl w:val="0"/>
              <w:kinsoku/>
              <w:wordWrap w:val="0"/>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5.●配套钢制结构网布座椅，尺寸≥500mm×550mm×900mm；可旋转升降。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widowControl/>
              <w:kinsoku/>
              <w:wordWrap/>
              <w:overflowPunct/>
              <w:topLinePunct w:val="0"/>
              <w:bidi w:val="0"/>
              <w:adjustRightInd w:val="0"/>
              <w:spacing w:line="320" w:lineRule="exact"/>
              <w:ind w:left="28" w:right="28"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5</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3829" w:type="pct"/>
            <w:vAlign w:val="center"/>
          </w:tcPr>
          <w:p>
            <w:pPr>
              <w:keepNext w:val="0"/>
              <w:keepLines w:val="0"/>
              <w:pageBreakBefore w:val="0"/>
              <w:widowControl w:val="0"/>
              <w:kinsoku/>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1.●麦克风输入：≥2路，卡农接头。</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2.●话筒供电：48V幻象电源。</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3.●话筒输入电平：-57dBu～-12dBu。</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4.●立体声输入：RCA立体声输入2组，其中一组为固定编组输入。</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5.●立体声输出：RCA立体声输出2组，其中一组为固定编组输出。</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6.●控制接口：RS-232接口1个。</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7.▲音箱接口：4芯SPEAKON音箱接口，不会因线缆拉扯导致脱落。</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8.●功率：150W/8Ω，250W/4Ω。</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9.●功放输入灵敏度：不低于0.775V。</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10.●频率响应：20Hz～20KHz。</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11.●信噪比：≥100dB。</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12.▲传声增益提升：≥15dB。</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13.▲噪声抑制：≥35dB。</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14.●自动增益控制幅度：-12dB～+12dB。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widowControl/>
              <w:kinsoku/>
              <w:wordWrap/>
              <w:overflowPunct/>
              <w:topLinePunct w:val="0"/>
              <w:bidi w:val="0"/>
              <w:adjustRightInd w:val="0"/>
              <w:spacing w:line="320" w:lineRule="exact"/>
              <w:ind w:left="28" w:right="28"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6</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无线手持话筒</w:t>
            </w:r>
          </w:p>
        </w:tc>
        <w:tc>
          <w:tcPr>
            <w:tcW w:w="3829" w:type="pct"/>
            <w:vAlign w:val="center"/>
          </w:tcPr>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1.●频率范围：UHF 751MHz～850.75MHz。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2.●频率稳定性：10PPM。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3.●占用带宽：±150KHz。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4.●传输速率：204.8Ksps。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5.●调制方式：DQPSK。</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6.●信噪比：≥105dB。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7.●失真度：≤0.5%@1KHz。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8.●接收灵敏度：-105dBM。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9.●频率响应：30Hz～20KHz。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10.●电源供应：DC 12V～16V。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11.●电源供应：DC 3V(1.5V AA×2)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12.●话筒耗电量：≤130mA。</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13.●发射功率：≥10mW。</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14.●动态范围：＞100dB。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15.●类型：动圈式。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16.●频率响应：30Hz～20KHz。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鹅颈话筒</w:t>
            </w:r>
          </w:p>
        </w:tc>
        <w:tc>
          <w:tcPr>
            <w:tcW w:w="3829" w:type="pct"/>
            <w:vAlign w:val="center"/>
          </w:tcPr>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1.●指向特性：单一指向型(驻极体电容式)。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2.●频率响应：50Hz～16KHz。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3.●灵敏感度：-38dBB/±2dB(1KHz)。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4.●输出阻抗：1.3KΩ。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5.●最大承受音压：135dB SPL 1KHz At1% T.H.D。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6.●信噪比：66dB.1KHz AT 1PA。</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7.●动态范围：111dB.1KHz AT MAX SPL。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8.●导线长度：≥6米(平衡式)。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扩声音箱</w:t>
            </w:r>
          </w:p>
        </w:tc>
        <w:tc>
          <w:tcPr>
            <w:tcW w:w="3829" w:type="pct"/>
            <w:vAlign w:val="center"/>
          </w:tcPr>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1.●≥8寸喷漆音箱。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2.●低音120双磁35芯，70磁猫眼高音。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3.●系统参数：系统：2分频；频率响应：45Hz～18kHz；驱动器：LF：8〞x1；HF：1''×2；输入阻抗：8Ohm；灵敏度：95dB；消耗功率：80W；最大声压：121dB；尺寸：约245mm×255mm×407mm；净重：6.5KG(±2%)。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静电地板</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1.●防火等级：A级。</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2.●踩踏噪音：≥30dB。</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3.●规格：600mm×600mm×35mm。</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4.●均布载荷800kg/m2。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机柜</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1.●尺寸：600mm×1000mm×2000mm(±2%)。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2.●门及门锁：网状冷轧钢前门或侧通风钢化玻璃主体前门，弹式免匙锁；后门：冷轧钢网孔后门，钢质圆锁。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3.●材料及工艺：SPCC优质冷轧钢板制作(厚度：方孔条≥1.0mm，托盘≥2.0mm，安装梁≥1.5m，其他≥1.2mm，表面处理：脱脂，酸洗，磷化，静电喷塑)。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4.●附加功能：速拆卸式双侧板。走线：上、下预留走线孔位(可开、关)，底部可完全敞开。</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5.●配有2U成品理线架。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路由器</w:t>
            </w:r>
          </w:p>
        </w:tc>
        <w:tc>
          <w:tcPr>
            <w:tcW w:w="3829" w:type="pct"/>
            <w:vAlign w:val="center"/>
          </w:tcPr>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1.●固定接口数目：4×GE+1×GE光，8×GE(支持切换为WAN口)。</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2.●槽位数目：SIC：2。</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3.●内存：512M。</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4.●IPv4包转发能力：2Mpps。</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5.●交流供电 220V。</w:t>
            </w:r>
          </w:p>
          <w:p>
            <w:pPr>
              <w:keepNext w:val="0"/>
              <w:keepLines w:val="0"/>
              <w:pageBreakBefore w:val="0"/>
              <w:widowControl/>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6.★投标产品应具有工业和信息化部颁发的电信设备进网许可证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说明：提供证书复印件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无线路由器</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1.●CPU：不低于MTK7621。</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2.●内存：≥512MB DRAM内存</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3.●闪存：≥16MB Flash闪存</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4.●广域网WAN端口4个100/1000M自适应RJ45。</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5.●局域网LAN端口1个100/1000M自适应RJ45。</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6.●USB端口1个。</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7.●多WAN接入可同时接入4条ADSL、光纤或不同ISP线路。 </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8.★投标产品应具有工业和信息化部颁发的电信设备进网许可证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w:t>
            </w:r>
          </w:p>
        </w:tc>
        <w:tc>
          <w:tcPr>
            <w:tcW w:w="3829" w:type="pct"/>
            <w:vAlign w:val="center"/>
          </w:tcPr>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1.●配置10/100/1000M以太网端口≥24个，配置1G SFP光接口≥4个；整机最大可用千兆口≥28。</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2.●交换容量≥335Gbps，转发性能≥51Mpps。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3.●支持静态路由、RIP/RIPng、OSPFv2/OSPFv3等三层路由协议。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4.●支持4K 802.1Q，protocol VLAN，QINQ，IGMP Snooping v1/v2/v3，远程端口镜像。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5.●支持软件定义网络SDN，支持并符合OpenFlow1.3协议标准。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6.●支持端口镜像、支持远程镜像、基于流的镜像。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7.●支持虚拟化功能，最多可将多台物理设备虚拟化为一台逻辑设备统一管理。</w:t>
            </w:r>
          </w:p>
          <w:p>
            <w:pPr>
              <w:keepNext w:val="0"/>
              <w:keepLines w:val="0"/>
              <w:pageBreakBefore w:val="0"/>
              <w:widowControl w:val="0"/>
              <w:kinsoku/>
              <w:overflowPunct/>
              <w:topLinePunct w:val="0"/>
              <w:bidi w:val="0"/>
              <w:adjustRightInd w:val="0"/>
              <w:snapToGrid w:val="0"/>
              <w:spacing w:after="0" w:line="320" w:lineRule="exact"/>
              <w:ind w:left="28" w:right="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8.★投标产品应具有工业和信息化部颁发的电信设备进网许可证(说明：提供证书复印件)。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综合布线</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1.▲按照专业计算机机房技术要求建设布局设计，满足实训室设备所需的电源和网络需求(提供承诺函原件)。</w:t>
            </w:r>
          </w:p>
          <w:p>
            <w:pPr>
              <w:keepNext w:val="0"/>
              <w:keepLines w:val="0"/>
              <w:pageBreakBefore w:val="0"/>
              <w:kinsoku/>
              <w:wordWrap w:val="0"/>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电线路：所有供电线路采用国标单芯或多芯铜线(严禁使用细丝装软铜电缆)。各供电线路采用单相三线制(火线、零线、接地线)同规格的三根线路，供电线路颜色要求：火线、零线、接地线要分为三个颜色，走线时加装线槽；外电进入机房到总电源开关使用≥25平方毫米铜芯三项四线电缆，总电源开关≥60安；分路漏电开关(≤8台机器1组)每路线路使用≥4平方毫米的国标电源线；电源插座：≤4台机器一组，多孔PDU插座，额定电流≥10A，进线规格：≥2.5平方毫米线缆；地插：≤4台机器一组，H62高含量铜盖板，外圈防水密封圈，额定电流≥10A，铁合金材质金属暗盒；保证每台台式计算机都有电源插孔，教师位单独一个PDU插座；每台台式计算机使用一拖二电源线(提供承诺函原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3.▲所有电气开关、器件、电线等需采用符合国标的产品(严禁使用细丝装软铜电缆)(提供承诺函原件)。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或线槽铺设采取可靠的密封措施，按照工艺操作规程进行转弯、接头连接和进箱连接处理；静电地板按需求开孔，在开口处加装保护；监控布线：把该项目摄像头接入学院监控网络；光纤按图纸要求熔接加长。其他各类线材，辅材，人工等，保证所有产品安装调试到位。</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5.●插板、水晶头、六类千兆网线、铜芯线，电源符合标准。弱电两端有相对应标识。弯头/直通/三通/电览线材/辅材/插接件、PVC线槽等杂件等满足机房布线数量并负责所有设备的安装调试。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6.●包含网络跳线、PVC槽管、PVC槽管接头、塑料底盒、网络面板、网络模块、电源线等；强弱电布线施工，设备安装调试。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个工作站配备专用的电源插座。每台机器的强电+弱电算一个点位；六类线非屏蔽双绞线；六类RJ45水晶头；电源线与网络线等其它弱电线缆分离布放；线缆在线两端贴上标签，以标明起始和终端位置(提供承诺函原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8.●亚克力材质宣传展板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26个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，展板尺寸≥800mm×600mm×5mm。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BIM算量软件</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1.▲土建、钢筋模型统一，能够同时计算钢筋、土建工程量。</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2.●能与BIM进行对接，可导出BIM模型文件。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3.●软件内置国家清单计量规范、当地清单定额规则，内置16G、11G系列平法规则及常用施工做法。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4.●能够根据工程情况进行规则和设置的选择和调整，模型能够挂不同计算规则，满足规则变更或对比。</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5.●能够三维实体模型显示，做到全构件显示；</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6.▲能够通过云技术的检查功能，对设置合理性、建模遗漏、属性合理性、建模合理性进行检查；输出确定错误、疑似错误、提醒三类结果。能够逐条检查和确认，双击直接定位；部分错误可以手动或自动修复。</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7.●能够进行全楼检查、当前层检查、自定义范围检查；检查依据清晰可查，部分检查条件可以自己设置参数；参与检查的规则项能够自定义选择。</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8.●能够提供整个工程指标汇总、钢筋、混凝土、模板、装修及其他几类指标报表。</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9.★能够导入各种类型的CAD图纸，自动/手动分割图纸，快速整理图纸。</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能够通过CAD构件识别功能，识别轴网，识别独立基础、识别桩承台、识别桩、识别柱、识别梁、识别剪力墙、识别受力筋、识别负筋、识别门窗洞等，自动从图纸中识别对应构件，录入图纸中对应属性信息，建立图元。</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11.●CAD识别过程各环节能够提供对应校核检查功能。</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12.●能够为构件匹配不同的清单/定额做法。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13.●支持清单做法的复制套取，为同类同特征的构件匹配相同的做法。</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14.●支持对清单做法进行智能检查，查漏补缺。</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15.●能够查询做法、匹配清单定额、图集做法、做法库方案维护等功能，将构件图元与做法匹配，更加方便灵活。</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16.●能够直接导入到计价文件，清单定额方案及单价都能直接和构件匹配并关联；通过清单定额编码等关系实现模型工程量与组价关联联动；并能输出带单价和合价的工程量报表，以及BIM造价模型。</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17.●软件支持对钢筋进行编辑，并查看详细的计算公式，能清晰查看钢筋三维构造图，查看模型三维扣减图，让结果及扣减过程清晰明白。</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18.●软件</w:t>
            </w:r>
            <w:r>
              <w:rPr>
                <w:rFonts w:hint="eastAsia" w:cs="宋体"/>
                <w:color w:val="auto"/>
                <w:sz w:val="21"/>
                <w:szCs w:val="21"/>
                <w:highlight w:val="none"/>
                <w:lang w:val="en-US" w:eastAsia="zh-CN"/>
              </w:rPr>
              <w:t>具有</w:t>
            </w:r>
            <w:r>
              <w:rPr>
                <w:rFonts w:hint="eastAsia" w:ascii="宋体" w:hAnsi="宋体" w:eastAsia="宋体" w:cs="宋体"/>
                <w:color w:val="auto"/>
                <w:sz w:val="21"/>
                <w:szCs w:val="21"/>
                <w:highlight w:val="none"/>
              </w:rPr>
              <w:t>查看多个图元工程量，并把结果导出Excel</w:t>
            </w:r>
            <w:r>
              <w:rPr>
                <w:rFonts w:hint="eastAsia" w:cs="宋体"/>
                <w:color w:val="auto"/>
                <w:sz w:val="21"/>
                <w:szCs w:val="21"/>
                <w:highlight w:val="none"/>
                <w:lang w:val="en-US" w:eastAsia="zh-CN"/>
              </w:rPr>
              <w:t>表格</w:t>
            </w:r>
            <w:r>
              <w:rPr>
                <w:rFonts w:hint="eastAsia" w:ascii="宋体" w:hAnsi="宋体" w:eastAsia="宋体" w:cs="宋体"/>
                <w:color w:val="auto"/>
                <w:sz w:val="21"/>
                <w:szCs w:val="21"/>
                <w:highlight w:val="none"/>
              </w:rPr>
              <w:t>。</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19.●软件支持设定导出自定义分类表，满足各类分类归量需求。</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20.●软件支持导出计算报表，进行清单定额做法汇总分析。</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●软件应具备著作权证书(提供计算机软件著作权登记证书复印件)；</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22.●软件支持对工程文件进行评分，导出一键评分报告，能进行案例工程与标准工程之间的差距分析，满足实训教学使用。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BIM施工场布软件</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1.★软件采用独立自主研发平台，避免产权纠纷，需支持在二三维状态下进行相关参数的编辑，同时支持三维参数化建模，通过导入和导出dwg文件，快速绘制。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2.★软件需支持施工阶段的设置，满足不同阶段的布置需求，并可按阶段一键切换不同阶段方案进行显示。</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3.▲软件支持场地设施算量设置，满足构件规格、单位、单价、厂家信息、周转信息的设定，支持算量方案的导入与导出。</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4.★软件支持CAD图纸识别转化，满足道路、围墙以及拟建建筑等内容快速识别，提高场地建模效率。</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5.▲软件支持对场布中任意位置进行贴图和标语牌的设定，满足施工现场安全文化宣传应用。</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6.●软件可实现任意角度模型三维浏览，支持视点保存应用，满足不同视点一键切换查看。</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7.●软件支持对场地模型进行切面绘制，实现对模型构件的内部浏览查看。</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8.▲软件支持对工程文件进行评测，支持对工程案例件在合理性和完整性两个方面进行评判，并支持导出评分结果和评分报告。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移动式工作站操作台</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操作台桌：</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1.●桌面采用≥25mm的E1级三聚氰胺饰面板，其余采用≥15mm的E1级三聚氰胺饰面板。</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2.●基材：E1级中密度纤维板。</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3.●活动柜全部采用E1级中密度纤维板，活动柜下方安装优质滚轮。</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4.●尺寸：1200mm×600mm×760mm(±2%)。</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操作台椅：</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1.●黑色PP料背架。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2.●≥40密度高弹力海绵。</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3.●PP分体固定型扶手。</w:t>
            </w:r>
          </w:p>
          <w:p>
            <w:pPr>
              <w:keepNext w:val="0"/>
              <w:keepLines w:val="0"/>
              <w:pageBreakBefore w:val="0"/>
              <w:kinsoku/>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4.●≥25管1.8厚黑色烤漆弓形架。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综合实训操作台</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工位操作台桌：</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1.●基材：中密度环保纤维板，达到国家新检测标准E1级(甲醛释放量≤1.5mg/L)。</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2.●钢架：≥50mm×50mm×1.2mm方管，经酸洗、磷化、静电喷塑处理。</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3.●尺寸：1800mm×1200mm×760mm(±2%)。</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工位操作台椅：</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1.●黑色PP料背架。</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2.●≥40密度高弹力海绵。</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3.●PP分体固定型扶手。</w:t>
            </w:r>
          </w:p>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4.●配套工位操作台椅6把。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lang w:val="en-US" w:eastAsia="zh-CN"/>
              </w:rPr>
            </w:pPr>
            <w:bookmarkStart w:id="1040" w:name="_Toc32145"/>
            <w:bookmarkStart w:id="1041" w:name="_Toc3071"/>
            <w:r>
              <w:rPr>
                <w:rFonts w:hint="eastAsia" w:ascii="宋体" w:hAnsi="宋体" w:eastAsia="宋体" w:cs="宋体"/>
                <w:color w:val="auto"/>
                <w:sz w:val="21"/>
                <w:szCs w:val="21"/>
                <w:highlight w:val="none"/>
                <w:lang w:val="en-US" w:eastAsia="zh-CN"/>
              </w:rPr>
              <w:t>19</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可移动白板</w:t>
            </w:r>
          </w:p>
        </w:tc>
        <w:tc>
          <w:tcPr>
            <w:tcW w:w="3829" w:type="pct"/>
            <w:vAlign w:val="center"/>
          </w:tcPr>
          <w:p>
            <w:pPr>
              <w:keepNext w:val="0"/>
              <w:keepLines w:val="0"/>
              <w:pageBreakBefore w:val="0"/>
              <w:kinsoku/>
              <w:overflowPunct/>
              <w:topLinePunct w:val="0"/>
              <w:bidi w:val="0"/>
              <w:adjustRightInd w:val="0"/>
              <w:spacing w:line="320" w:lineRule="exact"/>
              <w:ind w:left="28" w:right="2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●尺寸≥90mm×150mm，钢化玻璃屏风，型钢支架。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 w:type="pct"/>
            <w:vAlign w:val="center"/>
          </w:tcPr>
          <w:p>
            <w:pPr>
              <w:keepNext w:val="0"/>
              <w:keepLines w:val="0"/>
              <w:pageBreakBefore w:val="0"/>
              <w:kinsoku/>
              <w:wordWrap/>
              <w:overflowPunct/>
              <w:topLinePunct w:val="0"/>
              <w:bidi w:val="0"/>
              <w:adjustRightInd w:val="0"/>
              <w:spacing w:line="320" w:lineRule="exact"/>
              <w:ind w:left="28" w:right="28"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798" w:type="pct"/>
            <w:vAlign w:val="center"/>
          </w:tcPr>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储物柜</w:t>
            </w:r>
          </w:p>
          <w:p>
            <w:pPr>
              <w:keepNext w:val="0"/>
              <w:keepLines w:val="0"/>
              <w:pageBreakBefore w:val="0"/>
              <w:kinsoku/>
              <w:overflowPunct/>
              <w:topLinePunct w:val="0"/>
              <w:bidi w:val="0"/>
              <w:adjustRightInd w:val="0"/>
              <w:spacing w:line="320" w:lineRule="exact"/>
              <w:ind w:left="28" w:right="28"/>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(铁皮柜)</w:t>
            </w:r>
          </w:p>
        </w:tc>
        <w:tc>
          <w:tcPr>
            <w:tcW w:w="3829" w:type="pct"/>
            <w:vAlign w:val="center"/>
          </w:tcPr>
          <w:p>
            <w:pPr>
              <w:keepNext w:val="0"/>
              <w:keepLines w:val="0"/>
              <w:pageBreakBefore w:val="0"/>
              <w:kinsoku/>
              <w:wordWrap w:val="0"/>
              <w:overflowPunct/>
              <w:topLinePunct w:val="0"/>
              <w:bidi w:val="0"/>
              <w:adjustRightInd w:val="0"/>
              <w:spacing w:line="320" w:lineRule="exact"/>
              <w:ind w:left="28" w:right="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●高1800mm×宽8500mm×深390mm(正负5%)，金属材质厚度：≥0.6mm。</w:t>
            </w:r>
          </w:p>
        </w:tc>
      </w:tr>
    </w:tbl>
    <w:p>
      <w:pPr>
        <w:pageBreakBefore w:val="0"/>
        <w:widowControl w:val="0"/>
        <w:numPr>
          <w:ilvl w:val="1"/>
          <w:numId w:val="27"/>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theme="minorBidi"/>
          <w:b/>
          <w:color w:val="auto"/>
          <w:kern w:val="2"/>
          <w:sz w:val="24"/>
          <w:szCs w:val="24"/>
          <w:highlight w:val="none"/>
          <w:lang w:val="en-US" w:eastAsia="zh-CN" w:bidi="ar-SA"/>
        </w:rPr>
      </w:pPr>
      <w:bookmarkStart w:id="1042" w:name="_Toc6259"/>
      <w:r>
        <w:rPr>
          <w:rFonts w:hint="eastAsia" w:ascii="宋体" w:hAnsi="宋体" w:eastAsia="宋体" w:cstheme="minorBidi"/>
          <w:b/>
          <w:color w:val="auto"/>
          <w:kern w:val="2"/>
          <w:sz w:val="24"/>
          <w:szCs w:val="24"/>
          <w:highlight w:val="none"/>
          <w:lang w:val="en-US" w:eastAsia="zh-CN" w:bidi="ar-SA"/>
        </w:rPr>
        <w:t>商务要求</w:t>
      </w:r>
      <w:bookmarkEnd w:id="1040"/>
      <w:bookmarkEnd w:id="1041"/>
      <w:bookmarkEnd w:id="1042"/>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b/>
          <w:bCs/>
          <w:color w:val="auto"/>
          <w:highlight w:val="none"/>
          <w:lang w:val="en-US" w:eastAsia="zh-CN"/>
        </w:rPr>
      </w:pPr>
      <w:r>
        <w:rPr>
          <w:rFonts w:hint="eastAsia" w:ascii="仿宋" w:hAnsi="仿宋" w:eastAsia="仿宋" w:cs="仿宋"/>
          <w:b/>
          <w:bCs/>
          <w:color w:val="auto"/>
          <w:highlight w:val="none"/>
        </w:rPr>
        <w:t>★</w:t>
      </w:r>
      <w:r>
        <w:rPr>
          <w:rFonts w:hint="eastAsia"/>
          <w:b/>
          <w:bCs/>
          <w:color w:val="auto"/>
          <w:highlight w:val="none"/>
          <w:lang w:val="en-US" w:eastAsia="zh-CN"/>
        </w:rPr>
        <w:t>履约时间和地点：</w:t>
      </w:r>
    </w:p>
    <w:p>
      <w:pPr>
        <w:pStyle w:val="33"/>
        <w:pageBreakBefore w:val="0"/>
        <w:numPr>
          <w:ilvl w:val="4"/>
          <w:numId w:val="0"/>
        </w:numPr>
        <w:kinsoku/>
        <w:wordWrap/>
        <w:overflowPunct/>
        <w:topLinePunct w:val="0"/>
        <w:autoSpaceDE/>
        <w:autoSpaceDN/>
        <w:bidi w:val="0"/>
        <w:adjustRightInd/>
        <w:snapToGrid/>
        <w:spacing w:before="0" w:after="0" w:line="44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1.履约时间：政府采购合同签订之日起70日历天内，完成设备(含软件等)的交货、安装、调试、试运行等工作。</w:t>
      </w:r>
    </w:p>
    <w:p>
      <w:pPr>
        <w:pStyle w:val="34"/>
        <w:pageBreakBefore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2.履约地点：四川省成都市郫都区红光镇港通北三路1899。</w:t>
      </w:r>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包装、运输、质量要求</w:t>
      </w:r>
    </w:p>
    <w:p>
      <w:pPr>
        <w:pStyle w:val="40"/>
        <w:keepNext w:val="0"/>
        <w:keepLines w:val="0"/>
        <w:pageBreakBefore w:val="0"/>
        <w:widowControl w:val="0"/>
        <w:numPr>
          <w:ilvl w:val="2"/>
          <w:numId w:val="1"/>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★投标人为本项目实施涉及的商品包装和快递包装，均符合财政部等三部门联合印发商品包装和快递包装政府采购需求标准</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试行</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财办库[2020]123号</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的要求</w:t>
      </w:r>
      <w:r>
        <w:rPr>
          <w:rFonts w:hint="eastAsia" w:ascii="宋体" w:hAnsi="宋体" w:eastAsia="宋体" w:cs="宋体"/>
          <w:b/>
          <w:bCs w:val="0"/>
          <w:color w:val="auto"/>
          <w:sz w:val="24"/>
          <w:szCs w:val="24"/>
          <w:highlight w:val="none"/>
        </w:rPr>
        <w:t>(投标人须在其他投标文件中单独对本项要求以承诺函的形式作出响应，格式自拟)</w:t>
      </w:r>
      <w:r>
        <w:rPr>
          <w:rFonts w:hint="eastAsia" w:ascii="宋体" w:hAnsi="宋体" w:eastAsia="宋体" w:cs="宋体"/>
          <w:bCs/>
          <w:color w:val="auto"/>
          <w:sz w:val="24"/>
          <w:szCs w:val="24"/>
          <w:highlight w:val="none"/>
        </w:rPr>
        <w:t>。</w:t>
      </w:r>
    </w:p>
    <w:p>
      <w:pPr>
        <w:pStyle w:val="40"/>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2.投标人须提供全新、未拆封、未使用过的原装合格正品的货物(含零部件、配件、使用说明书等)，表面无划伤、无碰撞痕迹，且权属清楚，不得侵害他人的知识产权。</w:t>
      </w:r>
    </w:p>
    <w:p>
      <w:pPr>
        <w:pStyle w:val="40"/>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sz w:val="24"/>
          <w:szCs w:val="24"/>
          <w:highlight w:val="none"/>
        </w:rPr>
        <w:t>投标人提供的货物必须符合国家(行业)标准。如果投标人提供的产品的质量或规格或性能与招标文件和投标人的投标文件不符，或证实产品是有缺陷的，包括潜在的缺陷或使用不符合要求的产品等，投标人应在接到采购人书面通知后5日历天内完成换货，因换货产生的费用由投标人承担，如因不合格产品给采购人造成损失，投标人还应承担赔偿责任。产品因质量问题产生的纠纷等均由供应商负全部经济和法律责任</w:t>
      </w:r>
      <w:r>
        <w:rPr>
          <w:rFonts w:hint="eastAsia" w:ascii="宋体" w:hAnsi="宋体" w:eastAsia="宋体" w:cs="宋体"/>
          <w:b/>
          <w:bCs w:val="0"/>
          <w:color w:val="auto"/>
          <w:sz w:val="24"/>
          <w:szCs w:val="24"/>
          <w:highlight w:val="none"/>
        </w:rPr>
        <w:t>(投标人须在其他投标文件中单独对本项要求以承诺函的形式作出响应，格式自拟)</w:t>
      </w:r>
      <w:r>
        <w:rPr>
          <w:rFonts w:hint="eastAsia" w:ascii="宋体" w:hAnsi="宋体" w:eastAsia="宋体" w:cs="宋体"/>
          <w:bCs/>
          <w:color w:val="auto"/>
          <w:sz w:val="24"/>
          <w:szCs w:val="24"/>
          <w:highlight w:val="none"/>
        </w:rPr>
        <w:t>。</w:t>
      </w:r>
    </w:p>
    <w:p>
      <w:pPr>
        <w:pStyle w:val="38"/>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4.提供的全部货物均应按标准保护措施进行包装。该包装应适应于远距离运输、防潮、防震、防锈和防野蛮装卸，以确保货物安全无损运抵指定地点。由于包装不善所引起的货物损失均由供应商承担，每一包装单元内应附详细的装箱单和质量合格凭证。</w:t>
      </w:r>
    </w:p>
    <w:p>
      <w:pPr>
        <w:pStyle w:val="40"/>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5.货物制造质量出现问题，投标人应负责三包(包修、包换、包退)，费用由投标人负担。</w:t>
      </w:r>
    </w:p>
    <w:p>
      <w:pPr>
        <w:pStyle w:val="40"/>
        <w:keepNext w:val="0"/>
        <w:keepLines w:val="0"/>
        <w:pageBreakBefore w:val="0"/>
        <w:widowControl w:val="0"/>
        <w:numPr>
          <w:ilvl w:val="2"/>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6.货到现场后由于</w:t>
      </w:r>
      <w:r>
        <w:rPr>
          <w:rFonts w:hint="eastAsia" w:ascii="宋体" w:hAnsi="宋体" w:eastAsia="宋体" w:cs="宋体"/>
          <w:snapToGrid/>
          <w:color w:val="auto"/>
          <w:sz w:val="24"/>
          <w:szCs w:val="24"/>
          <w:highlight w:val="none"/>
        </w:rPr>
        <w:t>采购人</w:t>
      </w:r>
      <w:r>
        <w:rPr>
          <w:rFonts w:hint="eastAsia" w:ascii="宋体" w:hAnsi="宋体" w:eastAsia="宋体" w:cs="宋体"/>
          <w:bCs/>
          <w:color w:val="auto"/>
          <w:sz w:val="24"/>
          <w:szCs w:val="24"/>
          <w:highlight w:val="none"/>
        </w:rPr>
        <w:t>保管不当造成的质量问题，投标人亦应负责修理，但费用由</w:t>
      </w:r>
      <w:r>
        <w:rPr>
          <w:rFonts w:hint="eastAsia" w:ascii="宋体" w:hAnsi="宋体" w:eastAsia="宋体" w:cs="宋体"/>
          <w:snapToGrid/>
          <w:color w:val="auto"/>
          <w:sz w:val="24"/>
          <w:szCs w:val="24"/>
          <w:highlight w:val="none"/>
        </w:rPr>
        <w:t>采购人</w:t>
      </w:r>
      <w:r>
        <w:rPr>
          <w:rFonts w:hint="eastAsia" w:ascii="宋体" w:hAnsi="宋体" w:eastAsia="宋体" w:cs="宋体"/>
          <w:bCs/>
          <w:color w:val="auto"/>
          <w:sz w:val="24"/>
          <w:szCs w:val="24"/>
          <w:highlight w:val="none"/>
        </w:rPr>
        <w:t>负担。</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color w:val="auto"/>
          <w:sz w:val="24"/>
          <w:szCs w:val="24"/>
          <w:highlight w:val="none"/>
        </w:rPr>
        <w:t>7</w:t>
      </w:r>
      <w:r>
        <w:rPr>
          <w:rFonts w:hint="eastAsia" w:ascii="宋体" w:hAnsi="宋体" w:eastAsia="宋体" w:cs="宋体"/>
          <w:bCs/>
          <w:snapToGrid w:val="0"/>
          <w:color w:val="auto"/>
          <w:kern w:val="2"/>
          <w:sz w:val="24"/>
          <w:szCs w:val="24"/>
          <w:highlight w:val="none"/>
        </w:rPr>
        <w:t>.★</w:t>
      </w:r>
      <w:r>
        <w:rPr>
          <w:rFonts w:hint="eastAsia" w:ascii="宋体" w:hAnsi="宋体" w:eastAsia="宋体" w:cs="宋体"/>
          <w:bCs/>
          <w:snapToGrid w:val="0"/>
          <w:color w:val="auto"/>
          <w:sz w:val="24"/>
          <w:szCs w:val="24"/>
          <w:highlight w:val="none"/>
        </w:rPr>
        <w:t>整体质保期限为3年，货物类质保期内投标人提供免费上门保修服务</w:t>
      </w: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软件系统类投标人提供免费上门保修服务和升级服务，质保期的起始日期为现场验收合格之日起开始计算</w:t>
      </w:r>
      <w:r>
        <w:rPr>
          <w:rFonts w:hint="eastAsia" w:ascii="宋体" w:hAnsi="宋体" w:eastAsia="宋体" w:cs="宋体"/>
          <w:b/>
          <w:bCs w:val="0"/>
          <w:snapToGrid w:val="0"/>
          <w:color w:val="auto"/>
          <w:sz w:val="24"/>
          <w:szCs w:val="24"/>
          <w:highlight w:val="none"/>
        </w:rPr>
        <w:t>(投标人须在其他投标文件中单独对本项要求以承诺函的形式作出响应，格式自拟)</w:t>
      </w:r>
      <w:r>
        <w:rPr>
          <w:rFonts w:hint="eastAsia" w:ascii="宋体" w:hAnsi="宋体" w:eastAsia="宋体" w:cs="宋体"/>
          <w:bCs/>
          <w:snapToGrid w:val="0"/>
          <w:color w:val="auto"/>
          <w:sz w:val="24"/>
          <w:szCs w:val="24"/>
          <w:highlight w:val="none"/>
        </w:rPr>
        <w:t>。</w:t>
      </w:r>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1043" w:name="_Hlk69386129"/>
      <w:r>
        <w:rPr>
          <w:rFonts w:hint="eastAsia" w:asciiTheme="minorEastAsia" w:hAnsiTheme="minorEastAsia" w:eastAsiaTheme="minorEastAsia" w:cstheme="minorEastAsia"/>
          <w:b/>
          <w:bCs/>
          <w:color w:val="auto"/>
          <w:sz w:val="24"/>
          <w:szCs w:val="24"/>
          <w:highlight w:val="none"/>
          <w:lang w:val="en-US" w:eastAsia="zh-CN"/>
        </w:rPr>
        <w:t>安装调试要求</w:t>
      </w:r>
      <w:bookmarkEnd w:id="1043"/>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1.供应商将设备送达学校采购人指定地点后按采购人确定的方案进行安装、调试、培训等工作。</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rPr>
        <w:t>2.保证严格按照国家相关规范进行安装和调试。</w:t>
      </w:r>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售后服务要求</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1.供应商应有完善的技术支持与服务体系，专人负责与采购人联系售后服务事宜，必要的售后机具配置、具有专门固定的售后服务电话，并能提供本地化服务。</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供应商针对本项目向采购人提供免费培训服务，培训内容包括设备和软件的安装、性能、原理、操作、保养和维护等内容(为所有参培训人员提供文字资料和讲义等培训教材)，达到采购人可独立使用，培训人数和地点由采购人指定，并在培训后免费提供技术咨询服务。</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3.质保期内提供7×24小时的技术支持服务，配置固定的售后服务电话。接到采购人故障报修应2小时内响应，12小时内到达现场，48小时内不能排除故障的应免费提供核心产品</w:t>
      </w:r>
      <w:r>
        <w:rPr>
          <w:rFonts w:hint="eastAsia" w:cs="宋体"/>
          <w:bCs/>
          <w:snapToGrid w:val="0"/>
          <w:color w:val="auto"/>
          <w:sz w:val="24"/>
          <w:szCs w:val="24"/>
          <w:highlight w:val="none"/>
          <w:lang w:val="en-US" w:eastAsia="zh-CN"/>
        </w:rPr>
        <w:t>备件</w:t>
      </w:r>
      <w:r>
        <w:rPr>
          <w:rFonts w:hint="eastAsia" w:ascii="宋体" w:hAnsi="宋体" w:eastAsia="宋体" w:cs="宋体"/>
          <w:bCs/>
          <w:snapToGrid w:val="0"/>
          <w:color w:val="auto"/>
          <w:sz w:val="24"/>
          <w:szCs w:val="24"/>
          <w:highlight w:val="none"/>
        </w:rPr>
        <w:t>(</w:t>
      </w:r>
      <w:r>
        <w:rPr>
          <w:rFonts w:hint="eastAsia" w:cs="宋体"/>
          <w:bCs/>
          <w:snapToGrid w:val="0"/>
          <w:color w:val="auto"/>
          <w:sz w:val="24"/>
          <w:szCs w:val="24"/>
          <w:highlight w:val="none"/>
          <w:lang w:val="en-US" w:eastAsia="zh-CN"/>
        </w:rPr>
        <w:t>备件</w:t>
      </w:r>
      <w:r>
        <w:rPr>
          <w:rFonts w:hint="eastAsia" w:ascii="宋体" w:hAnsi="宋体" w:eastAsia="宋体" w:cs="宋体"/>
          <w:bCs/>
          <w:snapToGrid w:val="0"/>
          <w:color w:val="auto"/>
          <w:sz w:val="24"/>
          <w:szCs w:val="24"/>
          <w:highlight w:val="none"/>
        </w:rPr>
        <w:t>与响应物品型号品牌一致)，备货服务在2个工作日内免费送至指定地点，以保证设备的正常使用。若因设备升级更新等原因不能保障备货而供应造成采购人损失的，供应商承担全部赔偿责任。</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4.故障问题解决后24小时内，向采购人提交故障的处理报告，说明问题种类、问题原因、问题解决中使用的方法及造成的损失等情况。</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5.★货物经供应商两次维修仍不能达到本合同约定的质量标准，视作供应商未能按时交货，采购人有权退货并追究供应商的违约责任。</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6.项目实施过程中供应商应对采购人原场地、设施进行有效保护，如有损坏的应负责修复，无法修复的设施设备，供应商原价双倍赔偿。</w:t>
      </w:r>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7.</w:t>
      </w:r>
      <w:bookmarkStart w:id="1044" w:name="_Hlk69387080"/>
      <w:r>
        <w:rPr>
          <w:rFonts w:hint="eastAsia" w:ascii="宋体" w:hAnsi="宋体" w:eastAsia="宋体" w:cs="宋体"/>
          <w:bCs/>
          <w:snapToGrid w:val="0"/>
          <w:color w:val="auto"/>
          <w:sz w:val="24"/>
          <w:szCs w:val="24"/>
          <w:highlight w:val="none"/>
        </w:rPr>
        <w:t>质保期满前一个月，供应商免费负责一次全面的检查、维护，并出具正式报告，如发现潜在问题，应负责排除不收取任何费用。</w:t>
      </w:r>
      <w:bookmarkEnd w:id="1044"/>
    </w:p>
    <w:p>
      <w:pPr>
        <w:pStyle w:val="38"/>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textAlignment w:val="auto"/>
        <w:rPr>
          <w:rFonts w:ascii="仿宋" w:hAnsi="仿宋" w:eastAsia="仿宋" w:cs="仿宋"/>
          <w:snapToGrid/>
          <w:color w:val="auto"/>
          <w:highlight w:val="none"/>
        </w:rPr>
      </w:pPr>
      <w:r>
        <w:rPr>
          <w:rFonts w:hint="eastAsia" w:ascii="宋体" w:hAnsi="宋体" w:eastAsia="宋体" w:cs="宋体"/>
          <w:bCs/>
          <w:snapToGrid w:val="0"/>
          <w:color w:val="auto"/>
          <w:sz w:val="24"/>
          <w:szCs w:val="24"/>
          <w:highlight w:val="none"/>
        </w:rPr>
        <w:t>8.★</w:t>
      </w:r>
      <w:bookmarkStart w:id="1045" w:name="_Hlk69387130"/>
      <w:r>
        <w:rPr>
          <w:rFonts w:hint="eastAsia" w:ascii="宋体" w:hAnsi="宋体" w:eastAsia="宋体" w:cs="宋体"/>
          <w:bCs/>
          <w:snapToGrid w:val="0"/>
          <w:color w:val="auto"/>
          <w:sz w:val="24"/>
          <w:szCs w:val="24"/>
          <w:highlight w:val="none"/>
        </w:rPr>
        <w:t>质保期内供应商应为本项目所有设备提供巡检服务，每间隔6个月巡检一次，且每次巡检结束后5个工作日内提供每套设备的详细巡检情况记录</w:t>
      </w:r>
      <w:r>
        <w:rPr>
          <w:rFonts w:hint="eastAsia" w:ascii="宋体" w:hAnsi="宋体" w:eastAsia="宋体" w:cs="宋体"/>
          <w:b/>
          <w:bCs w:val="0"/>
          <w:snapToGrid w:val="0"/>
          <w:color w:val="auto"/>
          <w:sz w:val="24"/>
          <w:szCs w:val="24"/>
          <w:highlight w:val="none"/>
        </w:rPr>
        <w:t>(供应商须在其他投标文件中单独对本项要求以承诺函的形式作出响应，格式自拟)</w:t>
      </w:r>
      <w:r>
        <w:rPr>
          <w:rFonts w:hint="eastAsia" w:ascii="宋体" w:hAnsi="宋体" w:eastAsia="宋体" w:cs="宋体"/>
          <w:bCs/>
          <w:snapToGrid w:val="0"/>
          <w:color w:val="auto"/>
          <w:sz w:val="24"/>
          <w:szCs w:val="24"/>
          <w:highlight w:val="none"/>
        </w:rPr>
        <w:t>。</w:t>
      </w:r>
      <w:bookmarkEnd w:id="1045"/>
    </w:p>
    <w:p>
      <w:pPr>
        <w:pStyle w:val="38"/>
        <w:pageBreakBefore w:val="0"/>
        <w:numPr>
          <w:ilvl w:val="1"/>
          <w:numId w:val="28"/>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仿宋" w:hAnsi="仿宋" w:eastAsia="仿宋" w:cs="仿宋"/>
          <w:color w:val="auto"/>
          <w:highlight w:val="none"/>
        </w:rPr>
        <w:t>★</w:t>
      </w:r>
      <w:r>
        <w:rPr>
          <w:rFonts w:hint="eastAsia" w:asciiTheme="minorEastAsia" w:hAnsiTheme="minorEastAsia" w:eastAsiaTheme="minorEastAsia" w:cstheme="minorEastAsia"/>
          <w:b/>
          <w:bCs/>
          <w:color w:val="auto"/>
          <w:highlight w:val="none"/>
          <w:lang w:val="en-US" w:eastAsia="zh-CN"/>
        </w:rPr>
        <w:t>合同</w:t>
      </w:r>
      <w:r>
        <w:rPr>
          <w:rFonts w:hint="eastAsia" w:asciiTheme="minorEastAsia" w:hAnsiTheme="minorEastAsia" w:eastAsiaTheme="minorEastAsia" w:cstheme="minorEastAsia"/>
          <w:b/>
          <w:bCs/>
          <w:color w:val="auto"/>
          <w:sz w:val="24"/>
          <w:szCs w:val="24"/>
          <w:highlight w:val="none"/>
        </w:rPr>
        <w:t>价款</w:t>
      </w:r>
    </w:p>
    <w:p>
      <w:pPr>
        <w:pStyle w:val="38"/>
        <w:pageBreakBefore w:val="0"/>
        <w:numPr>
          <w:ilvl w:val="-1"/>
          <w:numId w:val="0"/>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rPr>
        <w:t>价款</w:t>
      </w:r>
      <w:r>
        <w:rPr>
          <w:rFonts w:hint="eastAsia" w:ascii="宋体" w:hAnsi="宋体" w:eastAsia="宋体" w:cs="宋体"/>
          <w:color w:val="auto"/>
          <w:highlight w:val="none"/>
        </w:rPr>
        <w:t>已包括货物设计、材料、制造、包装、运输、安装、调试、检测、质保期内保修服务</w:t>
      </w:r>
      <w:r>
        <w:rPr>
          <w:rFonts w:hint="eastAsia" w:cs="宋体"/>
          <w:color w:val="auto"/>
          <w:highlight w:val="none"/>
          <w:lang w:val="en-US" w:eastAsia="zh-CN"/>
        </w:rPr>
        <w:t>、</w:t>
      </w:r>
      <w:r>
        <w:rPr>
          <w:rFonts w:hint="eastAsia" w:ascii="宋体" w:hAnsi="宋体" w:eastAsia="宋体" w:cs="宋体"/>
          <w:color w:val="auto"/>
          <w:highlight w:val="none"/>
        </w:rPr>
        <w:t>备用物件</w:t>
      </w:r>
      <w:r>
        <w:rPr>
          <w:rFonts w:hint="eastAsia" w:cs="宋体"/>
          <w:color w:val="auto"/>
          <w:highlight w:val="none"/>
          <w:lang w:eastAsia="zh-CN"/>
        </w:rPr>
        <w:t>、</w:t>
      </w:r>
      <w:r>
        <w:rPr>
          <w:rFonts w:hint="eastAsia" w:ascii="宋体" w:hAnsi="宋体" w:eastAsia="宋体" w:cs="宋体"/>
          <w:color w:val="auto"/>
          <w:highlight w:val="none"/>
        </w:rPr>
        <w:t>税费等</w:t>
      </w:r>
      <w:r>
        <w:rPr>
          <w:rFonts w:hint="eastAsia" w:cs="宋体"/>
          <w:color w:val="auto"/>
          <w:highlight w:val="none"/>
          <w:lang w:val="en-US" w:eastAsia="zh-CN"/>
        </w:rPr>
        <w:t>完成本项目所需的一切费用</w:t>
      </w:r>
      <w:r>
        <w:rPr>
          <w:rFonts w:hint="eastAsia" w:ascii="宋体" w:hAnsi="宋体" w:eastAsia="宋体" w:cs="宋体"/>
          <w:color w:val="auto"/>
          <w:highlight w:val="none"/>
        </w:rPr>
        <w:t>。</w:t>
      </w:r>
    </w:p>
    <w:p>
      <w:pPr>
        <w:pStyle w:val="38"/>
        <w:pageBreakBefore w:val="0"/>
        <w:numPr>
          <w:ilvl w:val="1"/>
          <w:numId w:val="28"/>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仿宋" w:hAnsi="仿宋" w:eastAsia="仿宋" w:cs="仿宋"/>
          <w:color w:val="auto"/>
          <w:highlight w:val="none"/>
        </w:rPr>
        <w:t>★</w:t>
      </w:r>
      <w:r>
        <w:rPr>
          <w:rFonts w:hint="eastAsia" w:asciiTheme="minorEastAsia" w:hAnsiTheme="minorEastAsia" w:eastAsiaTheme="minorEastAsia" w:cstheme="minorEastAsia"/>
          <w:b/>
          <w:bCs/>
          <w:color w:val="auto"/>
          <w:sz w:val="24"/>
          <w:szCs w:val="24"/>
          <w:highlight w:val="none"/>
          <w:lang w:val="en-US" w:eastAsia="zh-CN"/>
        </w:rPr>
        <w:t>付款方式</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w:t>
      </w:r>
      <w:r>
        <w:rPr>
          <w:rFonts w:hint="eastAsia" w:ascii="宋体" w:hAnsi="宋体" w:eastAsia="宋体"/>
          <w:b w:val="0"/>
          <w:bCs/>
          <w:color w:val="auto"/>
          <w:highlight w:val="none"/>
          <w:lang w:val="en-US" w:eastAsia="zh-CN"/>
        </w:rPr>
        <w:t>.</w:t>
      </w:r>
      <w:r>
        <w:rPr>
          <w:rFonts w:hint="eastAsia" w:ascii="宋体" w:hAnsi="宋体" w:eastAsia="宋体"/>
          <w:b w:val="0"/>
          <w:bCs/>
          <w:color w:val="auto"/>
          <w:highlight w:val="none"/>
        </w:rPr>
        <w:t>所有货物安装调试完毕后、经采购人最终验收合格后，收到供应商的国税网验审合格的合法有效发票之日起30工作日内支付合同总金额的100%的合同款；如采购人收到发票之日早于最终验收合格之日，则自最终验收合格之日起30工作日内付款。</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w:t>
      </w:r>
      <w:r>
        <w:rPr>
          <w:rFonts w:hint="eastAsia" w:ascii="宋体" w:hAnsi="宋体" w:eastAsia="宋体"/>
          <w:b w:val="0"/>
          <w:bCs/>
          <w:color w:val="auto"/>
          <w:highlight w:val="none"/>
          <w:lang w:val="en-US" w:eastAsia="zh-CN"/>
        </w:rPr>
        <w:t>.</w:t>
      </w:r>
      <w:r>
        <w:rPr>
          <w:rFonts w:hint="eastAsia" w:ascii="宋体" w:hAnsi="宋体" w:eastAsia="宋体"/>
          <w:b w:val="0"/>
          <w:bCs/>
          <w:color w:val="auto"/>
          <w:highlight w:val="none"/>
        </w:rPr>
        <w:t>供应商未提供增值税发票</w:t>
      </w:r>
      <w:r>
        <w:rPr>
          <w:rFonts w:hint="eastAsia" w:eastAsia="宋体"/>
          <w:b w:val="0"/>
          <w:bCs/>
          <w:color w:val="auto"/>
          <w:highlight w:val="none"/>
          <w:lang w:eastAsia="zh-CN"/>
        </w:rPr>
        <w:t>(</w:t>
      </w:r>
      <w:r>
        <w:rPr>
          <w:rFonts w:hint="eastAsia" w:ascii="宋体" w:hAnsi="宋体" w:eastAsia="宋体"/>
          <w:b w:val="0"/>
          <w:bCs/>
          <w:color w:val="auto"/>
          <w:highlight w:val="none"/>
        </w:rPr>
        <w:t>专票或普票</w:t>
      </w:r>
      <w:r>
        <w:rPr>
          <w:rFonts w:hint="eastAsia" w:eastAsia="宋体"/>
          <w:b w:val="0"/>
          <w:bCs/>
          <w:color w:val="auto"/>
          <w:highlight w:val="none"/>
          <w:lang w:eastAsia="zh-CN"/>
        </w:rPr>
        <w:t>)</w:t>
      </w:r>
      <w:r>
        <w:rPr>
          <w:rFonts w:hint="eastAsia" w:ascii="宋体" w:hAnsi="宋体" w:eastAsia="宋体"/>
          <w:b w:val="0"/>
          <w:bCs/>
          <w:color w:val="auto"/>
          <w:highlight w:val="none"/>
        </w:rPr>
        <w:t>，或发票经国税网验审不合格的，采购人有权拒付，且不承担逾期付款的责任。</w:t>
      </w:r>
    </w:p>
    <w:p>
      <w:pPr>
        <w:pStyle w:val="38"/>
        <w:pageBreakBefore w:val="0"/>
        <w:numPr>
          <w:ilvl w:val="1"/>
          <w:numId w:val="28"/>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仿宋" w:hAnsi="仿宋" w:eastAsia="仿宋" w:cs="仿宋"/>
          <w:color w:val="auto"/>
          <w:highlight w:val="none"/>
        </w:rPr>
        <w:t>★</w:t>
      </w:r>
      <w:r>
        <w:rPr>
          <w:rFonts w:hint="eastAsia" w:asciiTheme="minorEastAsia" w:hAnsiTheme="minorEastAsia" w:eastAsiaTheme="minorEastAsia" w:cstheme="minorEastAsia"/>
          <w:b/>
          <w:bCs/>
          <w:color w:val="auto"/>
          <w:sz w:val="24"/>
          <w:szCs w:val="24"/>
          <w:highlight w:val="none"/>
          <w:lang w:val="en-US" w:eastAsia="zh-CN"/>
        </w:rPr>
        <w:t>履约保证金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w:t>
      </w:r>
      <w:r>
        <w:rPr>
          <w:rFonts w:hint="eastAsia" w:ascii="宋体" w:hAnsi="宋体" w:eastAsia="宋体"/>
          <w:b w:val="0"/>
          <w:bCs/>
          <w:color w:val="auto"/>
          <w:highlight w:val="none"/>
          <w:lang w:val="en-US" w:eastAsia="zh-CN"/>
        </w:rPr>
        <w:t>合同(中标)</w:t>
      </w:r>
      <w:r>
        <w:rPr>
          <w:rFonts w:hint="eastAsia" w:ascii="宋体" w:hAnsi="宋体" w:eastAsia="宋体"/>
          <w:b w:val="0"/>
          <w:bCs/>
          <w:color w:val="auto"/>
          <w:highlight w:val="none"/>
        </w:rPr>
        <w:t>金额的10%。</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2.交款方式：供应商应在中标通知书发出之日起合同签订前以银行转账、支票、汇票、本票或者金融机构、担保机构出具的保函等非现金形式向采购人提交履约保证金。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3.履约保证金退还方式：履行合同约定结束后，无质量问题和违约责任情况，供应商凭“验收报告单”、出具“收到退还履约保证金的收据”、“履约保证金退还申请”到采购人计财处办理，无息退还。采购人收到供应商提交的履约保证金退还申请等资料后，30个日历天内退还供应商履约保证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4.履约保证金汇入的银行及账号：</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960" w:firstLineChars="4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收款账号：成都市技师学院</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960" w:firstLineChars="4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开户行：工行成都红光支行</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960" w:firstLineChars="4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银行账号：4402054609100031151</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b w:val="0"/>
          <w:bCs/>
          <w:color w:val="auto"/>
          <w:highlight w:val="none"/>
        </w:rPr>
        <w:t>5.履约保证金不予退还情形：一是供应商未按合同要求履行的，其履约保证金全部扣除。二是供应商缴纳了履约保证金，但因自身原因被取消</w:t>
      </w:r>
      <w:r>
        <w:rPr>
          <w:rFonts w:hint="eastAsia"/>
          <w:b w:val="0"/>
          <w:bCs/>
          <w:color w:val="auto"/>
          <w:highlight w:val="none"/>
          <w:lang w:val="en-US" w:eastAsia="zh-CN"/>
        </w:rPr>
        <w:t>中标</w:t>
      </w:r>
      <w:r>
        <w:rPr>
          <w:rFonts w:hint="eastAsia" w:ascii="宋体" w:hAnsi="宋体" w:eastAsia="宋体"/>
          <w:b w:val="0"/>
          <w:bCs/>
          <w:color w:val="auto"/>
          <w:highlight w:val="none"/>
        </w:rPr>
        <w:t>资格或在</w:t>
      </w:r>
      <w:r>
        <w:rPr>
          <w:rFonts w:hint="eastAsia"/>
          <w:b w:val="0"/>
          <w:bCs/>
          <w:color w:val="auto"/>
          <w:highlight w:val="none"/>
          <w:lang w:val="en-US" w:eastAsia="zh-CN"/>
        </w:rPr>
        <w:t>中标通知书发出</w:t>
      </w:r>
      <w:r>
        <w:rPr>
          <w:rFonts w:hint="eastAsia" w:ascii="宋体" w:hAnsi="宋体" w:eastAsia="宋体"/>
          <w:b w:val="0"/>
          <w:bCs/>
          <w:color w:val="auto"/>
          <w:highlight w:val="none"/>
        </w:rPr>
        <w:t>之日起30日历天(含法定节假日)内供应商不按采购文件确定的事项与采购人签订合同的，其履约保证金不予退还。</w:t>
      </w:r>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项目验收方法和标准</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供应商完成供货安装调试完毕后，书面通知采购人验收。采购人接到项目初验收书面通知后10个日历天内组织初步验收；初步验收合格后，进入试运行，试运行期为30日历天，试运行期间发生一般性质量问题，修复后试用期相应顺延，试运行结束后，且经采购人最终验收合格后，签署《验收报告单》；验收不合格，供应商应在采购人限定的时间内整改后重新验收。再次验收不合格则视为供应商违约，供应商并承担相应的违约责任。</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rPr>
        <w:t>2.验收标准：按采购人招标文件的质量要求和技术指标、供应商的投标文件及承诺与本合同约定标准进行验收</w:t>
      </w:r>
      <w:r>
        <w:rPr>
          <w:rFonts w:hint="eastAsia" w:eastAsia="宋体"/>
          <w:b w:val="0"/>
          <w:bCs/>
          <w:color w:val="auto"/>
          <w:highlight w:val="none"/>
          <w:lang w:eastAsia="zh-CN"/>
        </w:rPr>
        <w:t>。</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3.供应商应将所提供货物的装箱清单、配件、随机工具、用户使用手册、原厂保修卡等资料交付给采购人；供应商不能完整交付货物及本款规定的单证和工具的，负责补齐，否则视为未按合同约定交货。</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b w:val="0"/>
          <w:bCs/>
          <w:color w:val="auto"/>
          <w:highlight w:val="none"/>
        </w:rPr>
        <w:t>4.其他未尽事宜应</w:t>
      </w:r>
      <w:r>
        <w:rPr>
          <w:rFonts w:hint="eastAsia" w:ascii="宋体" w:hAnsi="宋体" w:eastAsia="宋体"/>
          <w:b w:val="0"/>
          <w:bCs/>
          <w:color w:val="auto"/>
          <w:highlight w:val="none"/>
          <w:lang w:val="en-US" w:eastAsia="zh-CN"/>
        </w:rPr>
        <w:t>按</w:t>
      </w:r>
      <w:r>
        <w:rPr>
          <w:rFonts w:hint="eastAsia" w:ascii="宋体" w:hAnsi="宋体" w:eastAsia="宋体"/>
          <w:b w:val="0"/>
          <w:bCs/>
          <w:color w:val="auto"/>
          <w:highlight w:val="none"/>
        </w:rPr>
        <w:t>照《财政部关于进一步加强政府采购需求和履约验收管理的指导意见》(财库〔2016〕205 号)的要求进行验收。</w:t>
      </w:r>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违约责任</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1.采购人违约责任</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1.1采购人无正当理由拒收货物的，采购人应偿付</w:t>
      </w:r>
      <w:r>
        <w:rPr>
          <w:rFonts w:hint="eastAsia"/>
          <w:b w:val="0"/>
          <w:bCs/>
          <w:color w:val="auto"/>
          <w:highlight w:val="none"/>
          <w:lang w:val="en-US" w:eastAsia="zh-CN"/>
        </w:rPr>
        <w:t>中标</w:t>
      </w:r>
      <w:r>
        <w:rPr>
          <w:rFonts w:hint="eastAsia" w:ascii="宋体" w:hAnsi="宋体" w:eastAsia="宋体"/>
          <w:b w:val="0"/>
          <w:bCs/>
          <w:color w:val="auto"/>
          <w:highlight w:val="none"/>
        </w:rPr>
        <w:t>金额的百分之二十的违约金；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1.2采购人逾期支付货款的，除应及时付足货款外，应向供应商偿付欠款总额万分之五/天的违约金；逾期付款超过30日历天的，供应商有权终止合同(说明：如因2021年年终财政支付系统关闭导致采购人在合同履行期间无法支付，则采购人不承担逾期支付责任，待2022年财政支付系统开通后立即支付)；</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1.3采购人偿付的违约金不足以弥补供应商损失的，还应按供应商损失尚未弥补的部分，支付赔偿金给供应商。</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2.供应商违约责任</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2.1供应商交付的货物质量不符招标文件和投标文件规定的，供应商应在招标文件规定的时间内更换合格的产品给采购人，否则，视作供应商不能交付货而违约，按本条本款下述第“2.2”项规定由供应商偿付违约赔偿金给采购人。</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bCs/>
          <w:color w:val="auto"/>
          <w:highlight w:val="none"/>
        </w:rPr>
      </w:pPr>
      <w:r>
        <w:rPr>
          <w:rFonts w:hint="eastAsia" w:ascii="宋体" w:hAnsi="宋体" w:eastAsia="宋体"/>
          <w:b w:val="0"/>
          <w:bCs/>
          <w:color w:val="auto"/>
          <w:highlight w:val="none"/>
        </w:rPr>
        <w:t>2.2</w:t>
      </w:r>
      <w:r>
        <w:rPr>
          <w:rFonts w:hint="eastAsia" w:ascii="宋体" w:eastAsia="宋体"/>
          <w:b w:val="0"/>
          <w:bCs/>
          <w:color w:val="auto"/>
          <w:highlight w:val="none"/>
          <w:lang w:val="en-US" w:eastAsia="zh-CN"/>
        </w:rPr>
        <w:t>供应商</w:t>
      </w:r>
      <w:r>
        <w:rPr>
          <w:rFonts w:hint="eastAsia"/>
          <w:bCs/>
          <w:color w:val="auto"/>
          <w:highlight w:val="none"/>
        </w:rPr>
        <w:t>不能交付</w:t>
      </w:r>
      <w:r>
        <w:rPr>
          <w:rFonts w:hint="eastAsia" w:ascii="宋体" w:eastAsia="宋体"/>
          <w:bCs/>
          <w:color w:val="auto"/>
          <w:highlight w:val="none"/>
          <w:lang w:val="en-US" w:eastAsia="zh-CN"/>
        </w:rPr>
        <w:t>货物</w:t>
      </w:r>
      <w:r>
        <w:rPr>
          <w:rFonts w:hint="eastAsia"/>
          <w:bCs/>
          <w:color w:val="auto"/>
          <w:highlight w:val="none"/>
        </w:rPr>
        <w:t>的，合同终止，</w:t>
      </w:r>
      <w:r>
        <w:rPr>
          <w:rFonts w:hint="eastAsia" w:ascii="宋体" w:eastAsia="宋体"/>
          <w:bCs/>
          <w:color w:val="auto"/>
          <w:highlight w:val="none"/>
          <w:lang w:val="en-US" w:eastAsia="zh-CN"/>
        </w:rPr>
        <w:t>供应商</w:t>
      </w:r>
      <w:r>
        <w:rPr>
          <w:rFonts w:hint="eastAsia"/>
          <w:bCs/>
          <w:color w:val="auto"/>
          <w:highlight w:val="none"/>
        </w:rPr>
        <w:t>全额退还</w:t>
      </w:r>
      <w:r>
        <w:rPr>
          <w:rFonts w:hint="eastAsia" w:eastAsia="宋体"/>
          <w:bCs/>
          <w:color w:val="auto"/>
          <w:highlight w:val="none"/>
          <w:lang w:eastAsia="zh-CN"/>
        </w:rPr>
        <w:t>采购人</w:t>
      </w:r>
      <w:r>
        <w:rPr>
          <w:rFonts w:hint="eastAsia"/>
          <w:bCs/>
          <w:color w:val="auto"/>
          <w:highlight w:val="none"/>
        </w:rPr>
        <w:t>已经付给</w:t>
      </w:r>
      <w:r>
        <w:rPr>
          <w:rFonts w:hint="eastAsia" w:eastAsia="宋体"/>
          <w:bCs/>
          <w:color w:val="auto"/>
          <w:highlight w:val="none"/>
          <w:lang w:eastAsia="zh-CN"/>
        </w:rPr>
        <w:t>供应商</w:t>
      </w:r>
      <w:r>
        <w:rPr>
          <w:rFonts w:hint="eastAsia"/>
          <w:bCs/>
          <w:color w:val="auto"/>
          <w:highlight w:val="none"/>
        </w:rPr>
        <w:t>的所有费用及其利息</w:t>
      </w:r>
      <w:r>
        <w:rPr>
          <w:rFonts w:hint="eastAsia" w:eastAsia="宋体"/>
          <w:bCs/>
          <w:color w:val="auto"/>
          <w:highlight w:val="none"/>
          <w:lang w:eastAsia="zh-CN"/>
        </w:rPr>
        <w:t>(</w:t>
      </w:r>
      <w:r>
        <w:rPr>
          <w:rFonts w:hint="eastAsia"/>
          <w:bCs/>
          <w:color w:val="auto"/>
          <w:highlight w:val="none"/>
        </w:rPr>
        <w:t>按中国人民银行同期贷款利率为标准计算</w:t>
      </w:r>
      <w:r>
        <w:rPr>
          <w:rFonts w:hint="eastAsia" w:eastAsia="宋体"/>
          <w:bCs/>
          <w:color w:val="auto"/>
          <w:highlight w:val="none"/>
          <w:lang w:eastAsia="zh-CN"/>
        </w:rPr>
        <w:t>)</w:t>
      </w:r>
      <w:r>
        <w:rPr>
          <w:rFonts w:hint="eastAsia"/>
          <w:bCs/>
          <w:color w:val="auto"/>
          <w:highlight w:val="none"/>
        </w:rPr>
        <w:t>，并按合同金额的百分之二十向</w:t>
      </w:r>
      <w:r>
        <w:rPr>
          <w:rFonts w:hint="eastAsia" w:eastAsia="宋体"/>
          <w:bCs/>
          <w:color w:val="auto"/>
          <w:highlight w:val="none"/>
          <w:lang w:eastAsia="zh-CN"/>
        </w:rPr>
        <w:t>采购人</w:t>
      </w:r>
      <w:r>
        <w:rPr>
          <w:rFonts w:hint="eastAsia"/>
          <w:bCs/>
          <w:color w:val="auto"/>
          <w:highlight w:val="none"/>
        </w:rPr>
        <w:t>偿付赔偿金。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bCs/>
          <w:color w:val="auto"/>
          <w:highlight w:val="none"/>
        </w:rPr>
      </w:pPr>
      <w:r>
        <w:rPr>
          <w:rFonts w:hint="eastAsia" w:ascii="宋体" w:eastAsia="宋体"/>
          <w:bCs/>
          <w:color w:val="auto"/>
          <w:highlight w:val="none"/>
          <w:lang w:val="en-US" w:eastAsia="zh-CN"/>
        </w:rPr>
        <w:t>2.3</w:t>
      </w:r>
      <w:r>
        <w:rPr>
          <w:rFonts w:hint="eastAsia" w:eastAsia="宋体"/>
          <w:bCs/>
          <w:color w:val="auto"/>
          <w:highlight w:val="none"/>
          <w:lang w:eastAsia="zh-CN"/>
        </w:rPr>
        <w:t>供应商</w:t>
      </w:r>
      <w:r>
        <w:rPr>
          <w:rFonts w:hint="eastAsia"/>
          <w:bCs/>
          <w:color w:val="auto"/>
          <w:highlight w:val="none"/>
        </w:rPr>
        <w:t>逾期交付</w:t>
      </w:r>
      <w:r>
        <w:rPr>
          <w:rFonts w:hint="eastAsia" w:ascii="宋体" w:eastAsia="宋体"/>
          <w:bCs/>
          <w:color w:val="auto"/>
          <w:highlight w:val="none"/>
          <w:lang w:val="en-US" w:eastAsia="zh-CN"/>
        </w:rPr>
        <w:t>货物</w:t>
      </w:r>
      <w:r>
        <w:rPr>
          <w:rFonts w:hint="eastAsia"/>
          <w:bCs/>
          <w:color w:val="auto"/>
          <w:highlight w:val="none"/>
        </w:rPr>
        <w:t>的，除应及时交足</w:t>
      </w:r>
      <w:r>
        <w:rPr>
          <w:rFonts w:hint="eastAsia" w:eastAsia="宋体"/>
          <w:bCs/>
          <w:color w:val="auto"/>
          <w:highlight w:val="none"/>
          <w:lang w:eastAsia="zh-CN"/>
        </w:rPr>
        <w:t>货物</w:t>
      </w:r>
      <w:r>
        <w:rPr>
          <w:rFonts w:hint="eastAsia"/>
          <w:bCs/>
          <w:color w:val="auto"/>
          <w:highlight w:val="none"/>
        </w:rPr>
        <w:t>外，</w:t>
      </w:r>
      <w:r>
        <w:rPr>
          <w:rFonts w:hint="eastAsia" w:ascii="宋体" w:eastAsia="宋体"/>
          <w:bCs/>
          <w:color w:val="auto"/>
          <w:highlight w:val="none"/>
          <w:lang w:val="en-US" w:eastAsia="zh-CN"/>
        </w:rPr>
        <w:t>还</w:t>
      </w:r>
      <w:r>
        <w:rPr>
          <w:rFonts w:hint="eastAsia"/>
          <w:bCs/>
          <w:color w:val="auto"/>
          <w:highlight w:val="none"/>
        </w:rPr>
        <w:t>应按合同金额万分之五/天向</w:t>
      </w:r>
      <w:r>
        <w:rPr>
          <w:rFonts w:hint="eastAsia" w:eastAsia="宋体"/>
          <w:bCs/>
          <w:color w:val="auto"/>
          <w:highlight w:val="none"/>
          <w:lang w:eastAsia="zh-CN"/>
        </w:rPr>
        <w:t>采购人</w:t>
      </w:r>
      <w:r>
        <w:rPr>
          <w:rFonts w:hint="eastAsia"/>
          <w:bCs/>
          <w:color w:val="auto"/>
          <w:highlight w:val="none"/>
        </w:rPr>
        <w:t>偿付违约金；逾期交付</w:t>
      </w:r>
      <w:r>
        <w:rPr>
          <w:rFonts w:hint="eastAsia" w:eastAsia="宋体"/>
          <w:bCs/>
          <w:color w:val="auto"/>
          <w:highlight w:val="none"/>
          <w:lang w:eastAsia="zh-CN"/>
        </w:rPr>
        <w:t>货物</w:t>
      </w:r>
      <w:r>
        <w:rPr>
          <w:rFonts w:hint="eastAsia"/>
          <w:bCs/>
          <w:color w:val="auto"/>
          <w:highlight w:val="none"/>
        </w:rPr>
        <w:t>和货物超过10日历天，</w:t>
      </w:r>
      <w:r>
        <w:rPr>
          <w:rFonts w:hint="eastAsia" w:eastAsia="宋体"/>
          <w:bCs/>
          <w:color w:val="auto"/>
          <w:highlight w:val="none"/>
          <w:lang w:eastAsia="zh-CN"/>
        </w:rPr>
        <w:t>采购人</w:t>
      </w:r>
      <w:r>
        <w:rPr>
          <w:rFonts w:hint="eastAsia"/>
          <w:bCs/>
          <w:color w:val="auto"/>
          <w:highlight w:val="none"/>
        </w:rPr>
        <w:t>有权终止合同，并要求</w:t>
      </w:r>
      <w:r>
        <w:rPr>
          <w:rFonts w:hint="eastAsia" w:eastAsia="宋体"/>
          <w:bCs/>
          <w:color w:val="auto"/>
          <w:highlight w:val="none"/>
          <w:lang w:eastAsia="zh-CN"/>
        </w:rPr>
        <w:t>供应商</w:t>
      </w:r>
      <w:r>
        <w:rPr>
          <w:rFonts w:hint="eastAsia"/>
          <w:bCs/>
          <w:color w:val="auto"/>
          <w:highlight w:val="none"/>
        </w:rPr>
        <w:t>全额退还</w:t>
      </w:r>
      <w:r>
        <w:rPr>
          <w:rFonts w:hint="eastAsia" w:eastAsia="宋体"/>
          <w:bCs/>
          <w:color w:val="auto"/>
          <w:highlight w:val="none"/>
          <w:lang w:eastAsia="zh-CN"/>
        </w:rPr>
        <w:t>采购人</w:t>
      </w:r>
      <w:r>
        <w:rPr>
          <w:rFonts w:hint="eastAsia"/>
          <w:bCs/>
          <w:color w:val="auto"/>
          <w:highlight w:val="none"/>
        </w:rPr>
        <w:t>已经付给</w:t>
      </w:r>
      <w:r>
        <w:rPr>
          <w:rFonts w:hint="eastAsia" w:eastAsia="宋体"/>
          <w:bCs/>
          <w:color w:val="auto"/>
          <w:highlight w:val="none"/>
          <w:lang w:eastAsia="zh-CN"/>
        </w:rPr>
        <w:t>供应商</w:t>
      </w:r>
      <w:r>
        <w:rPr>
          <w:rFonts w:hint="eastAsia"/>
          <w:bCs/>
          <w:color w:val="auto"/>
          <w:highlight w:val="none"/>
        </w:rPr>
        <w:t>的所有费用及其利息</w:t>
      </w:r>
      <w:r>
        <w:rPr>
          <w:rFonts w:hint="eastAsia" w:eastAsia="宋体"/>
          <w:bCs/>
          <w:color w:val="auto"/>
          <w:highlight w:val="none"/>
          <w:lang w:eastAsia="zh-CN"/>
        </w:rPr>
        <w:t>(</w:t>
      </w:r>
      <w:r>
        <w:rPr>
          <w:rFonts w:hint="eastAsia"/>
          <w:bCs/>
          <w:color w:val="auto"/>
          <w:highlight w:val="none"/>
        </w:rPr>
        <w:t>按中国人民银行同期贷款利率为标准计算</w:t>
      </w:r>
      <w:r>
        <w:rPr>
          <w:rFonts w:hint="eastAsia" w:eastAsia="宋体"/>
          <w:bCs/>
          <w:color w:val="auto"/>
          <w:highlight w:val="none"/>
          <w:lang w:eastAsia="zh-CN"/>
        </w:rPr>
        <w:t>)</w:t>
      </w:r>
      <w:r>
        <w:rPr>
          <w:rFonts w:hint="eastAsia"/>
          <w:bCs/>
          <w:color w:val="auto"/>
          <w:highlight w:val="none"/>
        </w:rPr>
        <w:t>，同时按合同金额的百分之二十向</w:t>
      </w:r>
      <w:r>
        <w:rPr>
          <w:rFonts w:hint="eastAsia" w:eastAsia="宋体"/>
          <w:bCs/>
          <w:color w:val="auto"/>
          <w:highlight w:val="none"/>
          <w:lang w:eastAsia="zh-CN"/>
        </w:rPr>
        <w:t>采购人</w:t>
      </w:r>
      <w:r>
        <w:rPr>
          <w:rFonts w:hint="eastAsia"/>
          <w:bCs/>
          <w:color w:val="auto"/>
          <w:highlight w:val="none"/>
        </w:rPr>
        <w:t>偿付赔偿金。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w:t>
      </w:r>
      <w:r>
        <w:rPr>
          <w:rFonts w:hint="eastAsia" w:ascii="宋体" w:eastAsia="宋体"/>
          <w:b w:val="0"/>
          <w:bCs/>
          <w:color w:val="auto"/>
          <w:highlight w:val="none"/>
          <w:lang w:val="en-US" w:eastAsia="zh-CN"/>
        </w:rPr>
        <w:t>4</w:t>
      </w:r>
      <w:r>
        <w:rPr>
          <w:rFonts w:hint="eastAsia" w:ascii="宋体" w:hAnsi="宋体" w:eastAsia="宋体"/>
          <w:b w:val="0"/>
          <w:bCs/>
          <w:color w:val="auto"/>
          <w:highlight w:val="none"/>
        </w:rPr>
        <w:t>供应商货物经采购人送交具有法定资格条件的质量技术监督机构检测后，如检测结果认定货物质量不符合招标文件和供应商</w:t>
      </w:r>
      <w:r>
        <w:rPr>
          <w:rFonts w:hint="eastAsia"/>
          <w:b w:val="0"/>
          <w:bCs/>
          <w:color w:val="auto"/>
          <w:highlight w:val="none"/>
          <w:lang w:eastAsia="zh-CN"/>
        </w:rPr>
        <w:t>投标文件</w:t>
      </w:r>
      <w:r>
        <w:rPr>
          <w:rFonts w:hint="eastAsia" w:ascii="宋体" w:hAnsi="宋体" w:eastAsia="宋体"/>
          <w:b w:val="0"/>
          <w:bCs/>
          <w:color w:val="auto"/>
          <w:highlight w:val="none"/>
        </w:rPr>
        <w:t>规定标准的，则视为供应商没有按时交货而违约，供应商须在5个日历天内无条件更换合格的货物，如逾期不能更换合格的货物，采购人有权终止合同并要求供应商按</w:t>
      </w:r>
      <w:r>
        <w:rPr>
          <w:rFonts w:hint="eastAsia"/>
          <w:b w:val="0"/>
          <w:bCs/>
          <w:color w:val="auto"/>
          <w:highlight w:val="none"/>
          <w:lang w:val="en-US" w:eastAsia="zh-CN"/>
        </w:rPr>
        <w:t>中标</w:t>
      </w:r>
      <w:r>
        <w:rPr>
          <w:rFonts w:hint="eastAsia" w:ascii="宋体" w:hAnsi="宋体" w:eastAsia="宋体"/>
          <w:b w:val="0"/>
          <w:bCs/>
          <w:color w:val="auto"/>
          <w:highlight w:val="none"/>
        </w:rPr>
        <w:t>金额的百分之二十向采购人偿付赔偿金，同时须全额退还采购人已经付给供应商的货款及其利息。</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w:t>
      </w:r>
      <w:bookmarkStart w:id="1046" w:name="_Hlk69387689"/>
      <w:r>
        <w:rPr>
          <w:rFonts w:hint="eastAsia" w:ascii="宋体" w:eastAsia="宋体"/>
          <w:b w:val="0"/>
          <w:bCs/>
          <w:color w:val="auto"/>
          <w:highlight w:val="none"/>
          <w:lang w:val="en-US" w:eastAsia="zh-CN"/>
        </w:rPr>
        <w:t>5</w:t>
      </w:r>
      <w:r>
        <w:rPr>
          <w:rFonts w:hint="eastAsia" w:ascii="宋体" w:hAnsi="宋体" w:eastAsia="宋体"/>
          <w:b w:val="0"/>
          <w:bCs/>
          <w:color w:val="auto"/>
          <w:highlight w:val="none"/>
        </w:rPr>
        <w:t>供应商未按招标文件和供应商的投标文件约定的时间及要求提供售后服务的，应向采购人支付</w:t>
      </w:r>
      <w:r>
        <w:rPr>
          <w:rFonts w:hint="eastAsia"/>
          <w:b w:val="0"/>
          <w:bCs/>
          <w:color w:val="auto"/>
          <w:highlight w:val="none"/>
          <w:lang w:val="en-US" w:eastAsia="zh-CN"/>
        </w:rPr>
        <w:t>中标</w:t>
      </w:r>
      <w:r>
        <w:rPr>
          <w:rFonts w:hint="eastAsia" w:ascii="宋体" w:hAnsi="宋体" w:eastAsia="宋体"/>
          <w:b w:val="0"/>
          <w:bCs/>
          <w:color w:val="auto"/>
          <w:highlight w:val="none"/>
        </w:rPr>
        <w:t>金额百分之五的违约金。超过两次(含两次)，采购人有权聘请第三方提供服务，由此产生的费用全部由供应商承担，供应商还应按</w:t>
      </w:r>
      <w:r>
        <w:rPr>
          <w:rFonts w:hint="eastAsia"/>
          <w:b w:val="0"/>
          <w:bCs/>
          <w:color w:val="auto"/>
          <w:highlight w:val="none"/>
          <w:lang w:val="en-US" w:eastAsia="zh-CN"/>
        </w:rPr>
        <w:t>中标</w:t>
      </w:r>
      <w:r>
        <w:rPr>
          <w:rFonts w:hint="eastAsia" w:ascii="宋体" w:hAnsi="宋体" w:eastAsia="宋体"/>
          <w:b w:val="0"/>
          <w:bCs/>
          <w:color w:val="auto"/>
          <w:highlight w:val="none"/>
        </w:rPr>
        <w:t>金额的百分之十向采购人支付违约金。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w:t>
      </w:r>
      <w:r>
        <w:rPr>
          <w:rFonts w:hint="eastAsia" w:ascii="宋体" w:eastAsia="宋体"/>
          <w:b w:val="0"/>
          <w:bCs/>
          <w:color w:val="auto"/>
          <w:highlight w:val="none"/>
          <w:lang w:val="en-US" w:eastAsia="zh-CN"/>
        </w:rPr>
        <w:t>6</w:t>
      </w:r>
      <w:r>
        <w:rPr>
          <w:rFonts w:hint="eastAsia" w:ascii="宋体" w:hAnsi="宋体" w:eastAsia="宋体"/>
          <w:b w:val="0"/>
          <w:bCs/>
          <w:color w:val="auto"/>
          <w:highlight w:val="none"/>
        </w:rPr>
        <w:t>供应商保证响应的货物的权利无瑕疵，包括货物所有权及知识产权等权利无瑕疵。如任何第三方经法院(或仲裁机构)裁决有权对上述货物主张权利或国家机关依法对货物进行没收查处的，供应商除应向采购人返还已收款项外，还应另按</w:t>
      </w:r>
      <w:r>
        <w:rPr>
          <w:rFonts w:hint="eastAsia"/>
          <w:b w:val="0"/>
          <w:bCs/>
          <w:color w:val="auto"/>
          <w:highlight w:val="none"/>
          <w:lang w:val="en-US" w:eastAsia="zh-CN"/>
        </w:rPr>
        <w:t>中标</w:t>
      </w:r>
      <w:r>
        <w:rPr>
          <w:rFonts w:hint="eastAsia" w:ascii="宋体" w:hAnsi="宋体" w:eastAsia="宋体"/>
          <w:b w:val="0"/>
          <w:bCs/>
          <w:color w:val="auto"/>
          <w:highlight w:val="none"/>
        </w:rPr>
        <w:t>金额百分之十向采购人支付违约金。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b w:val="0"/>
          <w:bCs/>
          <w:color w:val="auto"/>
          <w:highlight w:val="none"/>
        </w:rPr>
      </w:pPr>
      <w:r>
        <w:rPr>
          <w:rFonts w:hint="eastAsia" w:ascii="宋体" w:hAnsi="宋体" w:eastAsia="宋体"/>
          <w:b w:val="0"/>
          <w:bCs/>
          <w:color w:val="auto"/>
          <w:highlight w:val="none"/>
        </w:rPr>
        <w:t>2.</w:t>
      </w:r>
      <w:r>
        <w:rPr>
          <w:rFonts w:hint="eastAsia" w:ascii="宋体" w:eastAsia="宋体"/>
          <w:b w:val="0"/>
          <w:bCs/>
          <w:color w:val="auto"/>
          <w:highlight w:val="none"/>
          <w:lang w:val="en-US" w:eastAsia="zh-CN"/>
        </w:rPr>
        <w:t>7</w:t>
      </w:r>
      <w:r>
        <w:rPr>
          <w:rFonts w:hint="eastAsia" w:ascii="宋体" w:hAnsi="宋体" w:eastAsia="宋体"/>
          <w:b w:val="0"/>
          <w:bCs/>
          <w:color w:val="auto"/>
          <w:highlight w:val="none"/>
        </w:rPr>
        <w:t>若供应商提供虚假、作废发票或违反国家法律、法规开具或提供发票的，供应商自行承担全部法律责任，同时供应商还应按</w:t>
      </w:r>
      <w:r>
        <w:rPr>
          <w:rFonts w:hint="eastAsia"/>
          <w:b w:val="0"/>
          <w:bCs/>
          <w:color w:val="auto"/>
          <w:highlight w:val="none"/>
          <w:lang w:val="en-US" w:eastAsia="zh-CN"/>
        </w:rPr>
        <w:t>中标</w:t>
      </w:r>
      <w:r>
        <w:rPr>
          <w:rFonts w:hint="eastAsia" w:ascii="宋体" w:hAnsi="宋体" w:eastAsia="宋体"/>
          <w:b w:val="0"/>
          <w:bCs/>
          <w:color w:val="auto"/>
          <w:highlight w:val="none"/>
        </w:rPr>
        <w:t>金额的百分之十向采购人支付违约金。</w:t>
      </w:r>
    </w:p>
    <w:p>
      <w:pPr>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b w:val="0"/>
          <w:bCs/>
          <w:color w:val="auto"/>
          <w:highlight w:val="none"/>
        </w:rPr>
        <w:t>2.</w:t>
      </w:r>
      <w:r>
        <w:rPr>
          <w:rFonts w:hint="eastAsia" w:ascii="宋体" w:eastAsia="宋体"/>
          <w:b w:val="0"/>
          <w:bCs/>
          <w:color w:val="auto"/>
          <w:highlight w:val="none"/>
          <w:lang w:val="en-US" w:eastAsia="zh-CN"/>
        </w:rPr>
        <w:t>8</w:t>
      </w:r>
      <w:r>
        <w:rPr>
          <w:rFonts w:hint="eastAsia" w:ascii="宋体" w:hAnsi="宋体" w:eastAsia="宋体"/>
          <w:b w:val="0"/>
          <w:bCs/>
          <w:color w:val="auto"/>
          <w:highlight w:val="none"/>
        </w:rPr>
        <w:t>供应商偿付的违约金不足以弥补采购人损失的，还应按采购人损失尚未弥补的部分,支付赔偿金给采购人。</w:t>
      </w:r>
      <w:bookmarkEnd w:id="1046"/>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解决争议的方法</w:t>
      </w:r>
    </w:p>
    <w:p>
      <w:pPr>
        <w:pStyle w:val="3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1.因质量问题发生争议，由甲乙双方协商确定的第三方机构进行质量鉴定。质量符合标准的，鉴定费由采购人承担；不符合质量标准的，鉴定费由供应商承担。</w:t>
      </w:r>
    </w:p>
    <w:p>
      <w:pPr>
        <w:pStyle w:val="3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2.履约期间,若双方发生争议，双方应通过友好协商解决，经协商不能达成协议时，应提交采购人所在地的人民法院诉讼。</w:t>
      </w:r>
    </w:p>
    <w:p>
      <w:pPr>
        <w:pStyle w:val="3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3.在诉讼期间，除正在进行诉讼的部分外，合同其他部分继续执行。</w:t>
      </w:r>
      <w:bookmarkStart w:id="1047" w:name="_Toc32286_WPSOffice_Level2"/>
      <w:bookmarkStart w:id="1048" w:name="_Toc27313"/>
      <w:bookmarkStart w:id="1049" w:name="_Toc20781"/>
    </w:p>
    <w:p>
      <w:pPr>
        <w:pStyle w:val="38"/>
        <w:pageBreakBefore w:val="0"/>
        <w:numPr>
          <w:ilvl w:val="1"/>
          <w:numId w:val="28"/>
        </w:numPr>
        <w:kinsoku/>
        <w:overflowPunct/>
        <w:autoSpaceDE/>
        <w:autoSpaceDN/>
        <w:bidi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其他商务要求</w:t>
      </w:r>
      <w:bookmarkEnd w:id="1047"/>
      <w:bookmarkEnd w:id="1048"/>
      <w:bookmarkEnd w:id="1049"/>
    </w:p>
    <w:p>
      <w:pPr>
        <w:pStyle w:val="3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bookmarkStart w:id="1050" w:name="_Hlk69388029"/>
      <w:r>
        <w:rPr>
          <w:rFonts w:hint="eastAsia" w:asciiTheme="minorEastAsia" w:hAnsiTheme="minorEastAsia" w:eastAsiaTheme="minorEastAsia" w:cstheme="minorEastAsia"/>
          <w:color w:val="auto"/>
          <w:kern w:val="0"/>
          <w:sz w:val="24"/>
          <w:szCs w:val="24"/>
          <w:highlight w:val="none"/>
          <w:lang w:val="en-US" w:eastAsia="zh-CN"/>
        </w:rPr>
        <w:t>1.供应商在项目执行过程中定期向采购人通告本项目供货的重大事项及其进度。</w:t>
      </w:r>
    </w:p>
    <w:p>
      <w:pPr>
        <w:pStyle w:val="34"/>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如因供应商工作人员在履行职务过程中的疏忽、失职、过错等故意或者过失原因给采购人造成损失或侵害，包括但不限于采购方本身的财产损失、由此而导致的采购人对任何第三方的法律责任等，供应商对此均应承担全部的赔偿责任。</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4.采购人享有本项目实施过程中产生的知识成果及知识产权。</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5.供应商如拟在项目实施过程中采用自有知识成果，需在投标文件中声明，并提供相关知识产权证明文件。使用该知识成果后，供应商需提供开发接口和开发手册等技术文档，并提供无限期技术支持。</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7.★供应商为本项目提供的所有产品、辅材中属于《国家3C强制性产品认证目录》范围内产品的，均通过国家3C强制性产品认证并取得认证证书。</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8.★供应商为本项目提供的所有产品、辅材符合现行的强制性国家相关标准、行业标准。</w:t>
      </w:r>
    </w:p>
    <w:bookmarkEnd w:id="1034"/>
    <w:bookmarkEnd w:id="1035"/>
    <w:bookmarkEnd w:id="1036"/>
    <w:bookmarkEnd w:id="1037"/>
    <w:bookmarkEnd w:id="1038"/>
    <w:bookmarkEnd w:id="1039"/>
    <w:bookmarkEnd w:id="1050"/>
    <w:p>
      <w:pPr>
        <w:pageBreakBefore w:val="0"/>
        <w:widowControl w:val="0"/>
        <w:numPr>
          <w:ilvl w:val="1"/>
          <w:numId w:val="27"/>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theme="minorBidi"/>
          <w:b/>
          <w:color w:val="auto"/>
          <w:kern w:val="2"/>
          <w:sz w:val="24"/>
          <w:szCs w:val="24"/>
          <w:highlight w:val="none"/>
          <w:lang w:val="en-US" w:eastAsia="zh-CN" w:bidi="ar-SA"/>
        </w:rPr>
      </w:pPr>
      <w:bookmarkStart w:id="1051" w:name="_Toc24490"/>
      <w:bookmarkStart w:id="1052" w:name="_Toc21227"/>
      <w:r>
        <w:rPr>
          <w:rFonts w:hint="eastAsia" w:ascii="宋体" w:hAnsi="宋体" w:eastAsia="宋体" w:cstheme="minorBidi"/>
          <w:b/>
          <w:color w:val="auto"/>
          <w:kern w:val="2"/>
          <w:sz w:val="24"/>
          <w:szCs w:val="24"/>
          <w:highlight w:val="none"/>
          <w:lang w:val="en-US" w:eastAsia="zh-CN" w:bidi="ar-SA"/>
        </w:rPr>
        <w:t>其他要求</w:t>
      </w:r>
      <w:bookmarkEnd w:id="1051"/>
      <w:bookmarkEnd w:id="1052"/>
    </w:p>
    <w:p>
      <w:pPr>
        <w:pStyle w:val="38"/>
        <w:pageBreakBefore w:val="0"/>
        <w:numPr>
          <w:ilvl w:val="1"/>
          <w:numId w:val="29"/>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服务能力</w:t>
      </w:r>
    </w:p>
    <w:p>
      <w:pPr>
        <w:pStyle w:val="25"/>
        <w:pageBreakBefore w:val="0"/>
        <w:kinsoku/>
        <w:wordWrap w:val="0"/>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b w:val="0"/>
          <w:bCs w:val="0"/>
          <w:snapToGrid/>
          <w:color w:val="auto"/>
          <w:kern w:val="0"/>
          <w:sz w:val="24"/>
          <w:szCs w:val="24"/>
          <w:highlight w:val="none"/>
          <w:lang w:eastAsia="zh-CN"/>
        </w:rPr>
      </w:pPr>
      <w:r>
        <w:rPr>
          <w:rFonts w:hint="eastAsia" w:asciiTheme="minorEastAsia" w:hAnsiTheme="minorEastAsia" w:eastAsiaTheme="minorEastAsia" w:cstheme="minorEastAsia"/>
          <w:b w:val="0"/>
          <w:bCs w:val="0"/>
          <w:snapToGrid/>
          <w:color w:val="auto"/>
          <w:kern w:val="0"/>
          <w:sz w:val="24"/>
          <w:szCs w:val="24"/>
          <w:highlight w:val="none"/>
        </w:rPr>
        <w:t>1.投标人或</w:t>
      </w:r>
      <w:r>
        <w:rPr>
          <w:rFonts w:hint="eastAsia" w:asciiTheme="minorEastAsia" w:hAnsiTheme="minorEastAsia" w:eastAsiaTheme="minorEastAsia" w:cstheme="minorEastAsia"/>
          <w:b w:val="0"/>
          <w:bCs w:val="0"/>
          <w:snapToGrid/>
          <w:color w:val="auto"/>
          <w:kern w:val="0"/>
          <w:sz w:val="24"/>
          <w:szCs w:val="24"/>
          <w:highlight w:val="none"/>
          <w:lang w:val="en-US" w:eastAsia="zh-CN"/>
        </w:rPr>
        <w:t>二个核心产品的</w:t>
      </w:r>
      <w:r>
        <w:rPr>
          <w:rFonts w:hint="eastAsia" w:asciiTheme="minorEastAsia" w:hAnsiTheme="minorEastAsia" w:eastAsiaTheme="minorEastAsia" w:cstheme="minorEastAsia"/>
          <w:b w:val="0"/>
          <w:bCs w:val="0"/>
          <w:snapToGrid/>
          <w:color w:val="auto"/>
          <w:kern w:val="0"/>
          <w:sz w:val="24"/>
          <w:szCs w:val="24"/>
          <w:highlight w:val="none"/>
        </w:rPr>
        <w:t>制造厂商通过信息安全管理体系认证</w:t>
      </w:r>
      <w:r>
        <w:rPr>
          <w:rFonts w:hint="eastAsia" w:asciiTheme="minorEastAsia" w:hAnsiTheme="minorEastAsia" w:eastAsiaTheme="minorEastAsia" w:cstheme="minorEastAsia"/>
          <w:b w:val="0"/>
          <w:bCs w:val="0"/>
          <w:snapToGrid/>
          <w:color w:val="auto"/>
          <w:kern w:val="0"/>
          <w:sz w:val="24"/>
          <w:szCs w:val="24"/>
          <w:highlight w:val="none"/>
          <w:lang w:eastAsia="zh-CN"/>
        </w:rPr>
        <w:t>。</w:t>
      </w:r>
    </w:p>
    <w:p>
      <w:pPr>
        <w:pStyle w:val="25"/>
        <w:pageBreakBefore w:val="0"/>
        <w:kinsoku/>
        <w:wordWrap w:val="0"/>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napToGrid/>
          <w:color w:val="auto"/>
          <w:kern w:val="0"/>
          <w:highlight w:val="none"/>
          <w:lang w:val="en-US" w:eastAsia="zh-CN"/>
        </w:rPr>
      </w:pPr>
      <w:r>
        <w:rPr>
          <w:rFonts w:hint="eastAsia" w:asciiTheme="minorEastAsia" w:hAnsiTheme="minorEastAsia" w:eastAsiaTheme="minorEastAsia" w:cstheme="minorEastAsia"/>
          <w:b w:val="0"/>
          <w:bCs w:val="0"/>
          <w:snapToGrid/>
          <w:color w:val="auto"/>
          <w:kern w:val="0"/>
          <w:sz w:val="24"/>
          <w:szCs w:val="24"/>
          <w:highlight w:val="none"/>
        </w:rPr>
        <w:t>2.投标人或</w:t>
      </w:r>
      <w:r>
        <w:rPr>
          <w:rFonts w:hint="eastAsia" w:asciiTheme="minorEastAsia" w:hAnsiTheme="minorEastAsia" w:eastAsiaTheme="minorEastAsia" w:cstheme="minorEastAsia"/>
          <w:b w:val="0"/>
          <w:bCs w:val="0"/>
          <w:snapToGrid/>
          <w:color w:val="auto"/>
          <w:kern w:val="0"/>
          <w:sz w:val="24"/>
          <w:szCs w:val="24"/>
          <w:highlight w:val="none"/>
          <w:lang w:val="en-US" w:eastAsia="zh-CN"/>
        </w:rPr>
        <w:t>二个核心产品的</w:t>
      </w:r>
      <w:r>
        <w:rPr>
          <w:rFonts w:hint="eastAsia" w:asciiTheme="minorEastAsia" w:hAnsiTheme="minorEastAsia" w:eastAsiaTheme="minorEastAsia" w:cstheme="minorEastAsia"/>
          <w:b w:val="0"/>
          <w:bCs w:val="0"/>
          <w:snapToGrid/>
          <w:color w:val="auto"/>
          <w:kern w:val="0"/>
          <w:sz w:val="24"/>
          <w:szCs w:val="24"/>
          <w:highlight w:val="none"/>
        </w:rPr>
        <w:t>制造厂商具有CMMI证书</w:t>
      </w:r>
      <w:r>
        <w:rPr>
          <w:rFonts w:hint="eastAsia" w:asciiTheme="minorEastAsia" w:hAnsiTheme="minorEastAsia" w:eastAsiaTheme="minorEastAsia" w:cstheme="minorEastAsia"/>
          <w:b w:val="0"/>
          <w:bCs w:val="0"/>
          <w:snapToGrid/>
          <w:color w:val="auto"/>
          <w:kern w:val="0"/>
          <w:sz w:val="24"/>
          <w:szCs w:val="24"/>
          <w:highlight w:val="none"/>
          <w:lang w:eastAsia="zh-CN"/>
        </w:rPr>
        <w:t>。</w:t>
      </w:r>
    </w:p>
    <w:p>
      <w:pPr>
        <w:pStyle w:val="25"/>
        <w:pageBreakBefore w:val="0"/>
        <w:widowControl/>
        <w:kinsoku/>
        <w:overflowPunct/>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b w:val="0"/>
          <w:bCs w:val="0"/>
          <w:snapToGrid/>
          <w:color w:val="auto"/>
          <w:kern w:val="0"/>
          <w:sz w:val="24"/>
          <w:highlight w:val="none"/>
        </w:rPr>
      </w:pPr>
      <w:r>
        <w:rPr>
          <w:rFonts w:hint="eastAsia" w:asciiTheme="minorEastAsia" w:hAnsiTheme="minorEastAsia" w:eastAsiaTheme="minorEastAsia" w:cstheme="minorEastAsia"/>
          <w:b w:val="0"/>
          <w:bCs w:val="0"/>
          <w:snapToGrid/>
          <w:color w:val="auto"/>
          <w:kern w:val="0"/>
          <w:sz w:val="24"/>
          <w:szCs w:val="24"/>
          <w:highlight w:val="none"/>
        </w:rPr>
        <w:t>3.投标人或</w:t>
      </w:r>
      <w:r>
        <w:rPr>
          <w:rFonts w:hint="eastAsia" w:asciiTheme="minorEastAsia" w:hAnsiTheme="minorEastAsia" w:eastAsiaTheme="minorEastAsia" w:cstheme="minorEastAsia"/>
          <w:b w:val="0"/>
          <w:bCs w:val="0"/>
          <w:snapToGrid/>
          <w:color w:val="auto"/>
          <w:kern w:val="0"/>
          <w:sz w:val="24"/>
          <w:szCs w:val="24"/>
          <w:highlight w:val="none"/>
          <w:lang w:val="en-US" w:eastAsia="zh-CN"/>
        </w:rPr>
        <w:t>二个核心产品的</w:t>
      </w:r>
      <w:r>
        <w:rPr>
          <w:rFonts w:hint="eastAsia" w:asciiTheme="minorEastAsia" w:hAnsiTheme="minorEastAsia" w:eastAsiaTheme="minorEastAsia" w:cstheme="minorEastAsia"/>
          <w:b w:val="0"/>
          <w:bCs w:val="0"/>
          <w:snapToGrid/>
          <w:color w:val="auto"/>
          <w:kern w:val="0"/>
          <w:sz w:val="24"/>
          <w:szCs w:val="24"/>
          <w:highlight w:val="none"/>
        </w:rPr>
        <w:t>制造厂商具有信息技术服务管理体系认证</w:t>
      </w:r>
      <w:r>
        <w:rPr>
          <w:rFonts w:hint="eastAsia" w:asciiTheme="minorEastAsia" w:hAnsiTheme="minorEastAsia" w:eastAsiaTheme="minorEastAsia" w:cstheme="minorEastAsia"/>
          <w:b w:val="0"/>
          <w:bCs w:val="0"/>
          <w:snapToGrid/>
          <w:color w:val="auto"/>
          <w:kern w:val="0"/>
          <w:sz w:val="24"/>
          <w:szCs w:val="24"/>
          <w:highlight w:val="none"/>
          <w:lang w:eastAsia="zh-CN"/>
        </w:rPr>
        <w:t>。</w:t>
      </w:r>
    </w:p>
    <w:p>
      <w:pPr>
        <w:pStyle w:val="25"/>
        <w:pageBreakBefore w:val="0"/>
        <w:widowControl/>
        <w:kinsoku/>
        <w:overflowPunct/>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snapToGrid/>
          <w:color w:val="auto"/>
          <w:kern w:val="0"/>
          <w:sz w:val="24"/>
          <w:szCs w:val="24"/>
          <w:highlight w:val="none"/>
          <w:lang w:val="en-US" w:eastAsia="zh-CN"/>
        </w:rPr>
      </w:pPr>
      <w:r>
        <w:rPr>
          <w:rFonts w:hint="eastAsia" w:asciiTheme="minorEastAsia" w:hAnsiTheme="minorEastAsia" w:eastAsiaTheme="minorEastAsia" w:cstheme="minorEastAsia"/>
          <w:b w:val="0"/>
          <w:bCs w:val="0"/>
          <w:snapToGrid/>
          <w:color w:val="auto"/>
          <w:kern w:val="0"/>
          <w:sz w:val="24"/>
          <w:szCs w:val="24"/>
          <w:highlight w:val="none"/>
        </w:rPr>
        <w:t>4.投标人</w:t>
      </w:r>
      <w:r>
        <w:rPr>
          <w:rFonts w:hint="eastAsia" w:asciiTheme="minorEastAsia" w:hAnsiTheme="minorEastAsia" w:eastAsiaTheme="minorEastAsia" w:cstheme="minorEastAsia"/>
          <w:b w:val="0"/>
          <w:bCs w:val="0"/>
          <w:snapToGrid/>
          <w:color w:val="auto"/>
          <w:kern w:val="0"/>
          <w:sz w:val="24"/>
          <w:szCs w:val="24"/>
          <w:highlight w:val="none"/>
          <w:lang w:val="en-US" w:eastAsia="zh-CN"/>
        </w:rPr>
        <w:t>具有类似</w:t>
      </w:r>
      <w:r>
        <w:rPr>
          <w:rFonts w:hint="eastAsia" w:asciiTheme="minorEastAsia" w:hAnsiTheme="minorEastAsia" w:eastAsiaTheme="minorEastAsia" w:cstheme="minorEastAsia"/>
          <w:b w:val="0"/>
          <w:bCs w:val="0"/>
          <w:snapToGrid/>
          <w:color w:val="auto"/>
          <w:kern w:val="0"/>
          <w:sz w:val="24"/>
          <w:szCs w:val="24"/>
          <w:highlight w:val="none"/>
        </w:rPr>
        <w:t>项目业绩的</w:t>
      </w:r>
      <w:r>
        <w:rPr>
          <w:rFonts w:hint="eastAsia" w:asciiTheme="minorEastAsia" w:hAnsiTheme="minorEastAsia" w:eastAsiaTheme="minorEastAsia" w:cstheme="minorEastAsia"/>
          <w:b w:val="0"/>
          <w:bCs w:val="0"/>
          <w:snapToGrid/>
          <w:color w:val="auto"/>
          <w:kern w:val="0"/>
          <w:sz w:val="24"/>
          <w:szCs w:val="24"/>
          <w:highlight w:val="none"/>
          <w:lang w:eastAsia="zh-CN"/>
        </w:rPr>
        <w:t>。</w:t>
      </w:r>
    </w:p>
    <w:p>
      <w:pPr>
        <w:pStyle w:val="38"/>
        <w:pageBreakBefore w:val="0"/>
        <w:numPr>
          <w:ilvl w:val="1"/>
          <w:numId w:val="29"/>
        </w:numPr>
        <w:kinsoku/>
        <w:overflowPunct/>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项目实施方案</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1.培训方案</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包含但不限于①培训计划、②培训目的、③培训内容、④培训要求、⑤培训教材、⑥课程安排等内容。</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2.售后服务方案</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包含但不限于①售后服务机构情况、②售后服务计划及服务能力、③应急服务响应等内容。</w:t>
      </w:r>
    </w:p>
    <w:p>
      <w:pPr>
        <w:pStyle w:val="50"/>
        <w:bidi w:val="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注意：</w:t>
      </w:r>
      <w:r>
        <w:rPr>
          <w:rFonts w:hint="default" w:ascii="宋体" w:hAnsi="宋体" w:eastAsia="宋体"/>
          <w:color w:val="auto"/>
          <w:highlight w:val="none"/>
          <w:lang w:val="en-US" w:eastAsia="zh-CN"/>
        </w:rPr>
        <w:t>①</w:t>
      </w:r>
      <w:r>
        <w:rPr>
          <w:rFonts w:hint="eastAsia" w:ascii="宋体" w:hAnsi="宋体" w:eastAsia="宋体"/>
          <w:color w:val="auto"/>
          <w:highlight w:val="none"/>
          <w:lang w:val="en-US" w:eastAsia="zh-CN"/>
        </w:rPr>
        <w:t>本章带“</w:t>
      </w:r>
      <w:r>
        <w:rPr>
          <w:rFonts w:hint="eastAsia" w:ascii="宋体" w:hAnsi="宋体" w:eastAsia="宋体" w:cs="宋体"/>
          <w:color w:val="auto"/>
          <w:highlight w:val="none"/>
          <w:lang w:val="en-US" w:eastAsia="zh-CN"/>
        </w:rPr>
        <w:t>▲</w:t>
      </w:r>
      <w:r>
        <w:rPr>
          <w:rFonts w:hint="eastAsia" w:ascii="宋体" w:hAnsi="宋体" w:eastAsia="宋体"/>
          <w:color w:val="auto"/>
          <w:highlight w:val="none"/>
          <w:lang w:val="en-US" w:eastAsia="zh-CN"/>
        </w:rPr>
        <w:t>”号项目作为关键性指标要求，带“</w:t>
      </w:r>
      <w:r>
        <w:rPr>
          <w:rFonts w:hint="eastAsia" w:ascii="宋体" w:hAnsi="宋体" w:eastAsia="宋体" w:cs="宋体"/>
          <w:color w:val="auto"/>
          <w:sz w:val="21"/>
          <w:szCs w:val="21"/>
          <w:highlight w:val="none"/>
        </w:rPr>
        <w:t>●</w:t>
      </w:r>
      <w:r>
        <w:rPr>
          <w:rFonts w:hint="eastAsia" w:ascii="宋体" w:hAnsi="宋体" w:eastAsia="宋体"/>
          <w:color w:val="auto"/>
          <w:highlight w:val="none"/>
          <w:lang w:val="en-US" w:eastAsia="zh-CN"/>
        </w:rPr>
        <w:t>”号项目作为</w:t>
      </w:r>
      <w:r>
        <w:rPr>
          <w:rFonts w:hint="eastAsia"/>
          <w:color w:val="auto"/>
          <w:highlight w:val="none"/>
          <w:lang w:val="en-US" w:eastAsia="zh-CN"/>
        </w:rPr>
        <w:t>一般技术</w:t>
      </w:r>
      <w:r>
        <w:rPr>
          <w:rFonts w:hint="eastAsia" w:ascii="宋体" w:hAnsi="宋体" w:eastAsia="宋体"/>
          <w:color w:val="auto"/>
          <w:highlight w:val="none"/>
          <w:lang w:val="en-US" w:eastAsia="zh-CN"/>
        </w:rPr>
        <w:t>指标要求，如未满足将根据评分办法规定分别进行扣分。带“</w:t>
      </w:r>
      <w:r>
        <w:rPr>
          <w:rFonts w:hint="eastAsia"/>
          <w:color w:val="auto"/>
          <w:highlight w:val="none"/>
          <w:lang w:val="en-US" w:eastAsia="zh-CN"/>
        </w:rPr>
        <w:t>★</w:t>
      </w:r>
      <w:r>
        <w:rPr>
          <w:rFonts w:hint="eastAsia" w:ascii="宋体" w:hAnsi="宋体" w:eastAsia="宋体"/>
          <w:color w:val="auto"/>
          <w:highlight w:val="none"/>
          <w:lang w:val="en-US" w:eastAsia="zh-CN"/>
        </w:rPr>
        <w:t>”号条款为实质性要求，投标人若未满足的，将被视为无效投标(如涉及)。</w:t>
      </w:r>
    </w:p>
    <w:p>
      <w:pPr>
        <w:pStyle w:val="50"/>
        <w:bidi w:val="0"/>
        <w:rPr>
          <w:rFonts w:hint="eastAsia"/>
          <w:color w:val="auto"/>
          <w:highlight w:val="none"/>
          <w:lang w:val="en-US" w:eastAsia="zh-CN"/>
        </w:rPr>
      </w:pPr>
      <w:r>
        <w:rPr>
          <w:rFonts w:hint="default" w:ascii="宋体" w:hAnsi="宋体" w:eastAsia="宋体"/>
          <w:color w:val="auto"/>
          <w:highlight w:val="none"/>
          <w:lang w:val="en-US" w:eastAsia="zh-CN"/>
        </w:rPr>
        <w:t>②根据《财政部 发展改革委 生态环境部 市场监管总局关于调整优化节能产品、环境标志产品政府采购执行机制的通知》</w:t>
      </w:r>
      <w:r>
        <w:rPr>
          <w:rFonts w:hint="eastAsia"/>
          <w:color w:val="auto"/>
          <w:highlight w:val="none"/>
          <w:lang w:val="en-US" w:eastAsia="zh-CN"/>
        </w:rPr>
        <w:t>(</w:t>
      </w:r>
      <w:r>
        <w:rPr>
          <w:rFonts w:hint="default" w:ascii="宋体" w:hAnsi="宋体" w:eastAsia="宋体"/>
          <w:color w:val="auto"/>
          <w:highlight w:val="none"/>
          <w:lang w:val="en-US" w:eastAsia="zh-CN"/>
        </w:rPr>
        <w:t>财库〔2019〕9号</w:t>
      </w:r>
      <w:r>
        <w:rPr>
          <w:rFonts w:hint="eastAsia"/>
          <w:color w:val="auto"/>
          <w:highlight w:val="none"/>
          <w:lang w:val="en-US" w:eastAsia="zh-CN"/>
        </w:rPr>
        <w:t>)</w:t>
      </w:r>
      <w:r>
        <w:rPr>
          <w:rFonts w:hint="default" w:ascii="宋体" w:hAnsi="宋体" w:eastAsia="宋体"/>
          <w:color w:val="auto"/>
          <w:highlight w:val="none"/>
          <w:lang w:val="en-US" w:eastAsia="zh-CN"/>
        </w:rPr>
        <w:t>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本项目采购的产品</w:t>
      </w:r>
      <w:r>
        <w:rPr>
          <w:rFonts w:hint="default"/>
          <w:color w:val="auto"/>
          <w:highlight w:val="none"/>
          <w:lang w:val="en-US" w:eastAsia="zh-CN"/>
        </w:rPr>
        <w:t>(</w:t>
      </w:r>
      <w:r>
        <w:rPr>
          <w:rFonts w:hint="default" w:ascii="宋体" w:hAnsi="宋体" w:eastAsia="宋体" w:cstheme="minorBidi"/>
          <w:color w:val="auto"/>
          <w:sz w:val="24"/>
          <w:szCs w:val="24"/>
          <w:highlight w:val="none"/>
          <w:lang w:val="en-US" w:eastAsia="zh-CN"/>
        </w:rPr>
        <w:t>台式图形工作工作站、移动式图形工作站</w:t>
      </w:r>
      <w:r>
        <w:rPr>
          <w:rFonts w:hint="default" w:cstheme="minorBidi"/>
          <w:color w:val="auto"/>
          <w:sz w:val="24"/>
          <w:szCs w:val="24"/>
          <w:highlight w:val="none"/>
          <w:lang w:val="en-US" w:eastAsia="zh-CN"/>
        </w:rPr>
        <w:t>及</w:t>
      </w:r>
      <w:r>
        <w:rPr>
          <w:rFonts w:hint="eastAsia" w:cs="宋体"/>
          <w:color w:val="auto"/>
          <w:highlight w:val="none"/>
        </w:rPr>
        <w:t>政府采购品目清单中的其它政府强制节能采购产品</w:t>
      </w:r>
      <w:r>
        <w:rPr>
          <w:rFonts w:hint="default"/>
          <w:color w:val="auto"/>
          <w:highlight w:val="none"/>
          <w:lang w:val="en-US" w:eastAsia="zh-CN"/>
        </w:rPr>
        <w:t>)</w:t>
      </w:r>
      <w:r>
        <w:rPr>
          <w:rFonts w:hint="default" w:ascii="宋体" w:hAnsi="宋体" w:eastAsia="宋体"/>
          <w:color w:val="auto"/>
          <w:highlight w:val="none"/>
          <w:lang w:val="en-US" w:eastAsia="zh-CN"/>
        </w:rPr>
        <w:t>属于品目清单强制采购范围</w:t>
      </w:r>
      <w:r>
        <w:rPr>
          <w:rFonts w:hint="eastAsia"/>
          <w:color w:val="auto"/>
          <w:highlight w:val="none"/>
          <w:lang w:val="en-US" w:eastAsia="zh-CN"/>
        </w:rPr>
        <w:t>(</w:t>
      </w:r>
      <w:r>
        <w:rPr>
          <w:rFonts w:hint="default" w:ascii="宋体" w:hAnsi="宋体" w:eastAsia="宋体"/>
          <w:color w:val="auto"/>
          <w:highlight w:val="none"/>
          <w:lang w:val="en-US" w:eastAsia="zh-CN"/>
        </w:rPr>
        <w:t>节能产品政府采购品目清单中带</w:t>
      </w:r>
      <w:r>
        <w:rPr>
          <w:rFonts w:hint="eastAsia" w:ascii="宋体" w:hAnsi="宋体" w:eastAsia="宋体"/>
          <w:color w:val="auto"/>
          <w:highlight w:val="none"/>
          <w:lang w:val="en-US" w:eastAsia="zh-CN"/>
        </w:rPr>
        <w:t>星</w:t>
      </w:r>
      <w:r>
        <w:rPr>
          <w:rFonts w:hint="default" w:ascii="宋体" w:hAnsi="宋体" w:eastAsia="宋体"/>
          <w:color w:val="auto"/>
          <w:highlight w:val="none"/>
          <w:lang w:val="en-US" w:eastAsia="zh-CN"/>
        </w:rPr>
        <w:t>号产品</w:t>
      </w:r>
      <w:r>
        <w:rPr>
          <w:rFonts w:hint="eastAsia"/>
          <w:color w:val="auto"/>
          <w:highlight w:val="none"/>
          <w:lang w:val="en-US" w:eastAsia="zh-CN"/>
        </w:rPr>
        <w:t>)</w:t>
      </w:r>
      <w:r>
        <w:rPr>
          <w:rFonts w:hint="default" w:ascii="宋体" w:hAnsi="宋体" w:eastAsia="宋体"/>
          <w:color w:val="auto"/>
          <w:highlight w:val="none"/>
          <w:lang w:val="en-US" w:eastAsia="zh-CN"/>
        </w:rPr>
        <w:t>的，供应商应按上述要求提供产品认证证书复印件并加盖供应商单位公章，否则投标无效</w:t>
      </w:r>
      <w:r>
        <w:rPr>
          <w:rFonts w:hint="eastAsia" w:ascii="宋体" w:hAnsi="宋体" w:eastAsia="宋体"/>
          <w:color w:val="auto"/>
          <w:highlight w:val="none"/>
          <w:lang w:val="en-US" w:eastAsia="zh-CN"/>
        </w:rPr>
        <w:t>。</w:t>
      </w:r>
    </w:p>
    <w:p>
      <w:pPr>
        <w:pStyle w:val="25"/>
        <w:bidi w:val="0"/>
        <w:rPr>
          <w:rFonts w:hint="eastAsia"/>
          <w:color w:val="auto"/>
          <w:highlight w:val="none"/>
        </w:rPr>
      </w:pPr>
      <w:r>
        <w:rPr>
          <w:rFonts w:hint="eastAsia"/>
          <w:color w:val="auto"/>
          <w:highlight w:val="none"/>
        </w:rPr>
        <w:br w:type="page"/>
      </w:r>
    </w:p>
    <w:bookmarkEnd w:id="1007"/>
    <w:bookmarkEnd w:id="1008"/>
    <w:bookmarkEnd w:id="1009"/>
    <w:p>
      <w:pPr>
        <w:pStyle w:val="24"/>
        <w:numPr>
          <w:ilvl w:val="0"/>
          <w:numId w:val="11"/>
        </w:numPr>
        <w:bidi w:val="0"/>
        <w:rPr>
          <w:rFonts w:hint="eastAsia"/>
          <w:color w:val="auto"/>
          <w:highlight w:val="none"/>
        </w:rPr>
      </w:pPr>
      <w:bookmarkStart w:id="1053" w:name="_Toc32659"/>
      <w:bookmarkStart w:id="1054" w:name="_Toc32447"/>
      <w:bookmarkStart w:id="1055" w:name="_Toc10570"/>
      <w:bookmarkStart w:id="1056" w:name="_Toc3881"/>
      <w:bookmarkStart w:id="1057" w:name="_Toc1543"/>
      <w:bookmarkStart w:id="1058" w:name="_Toc208849007"/>
      <w:bookmarkStart w:id="1059" w:name="_Toc483"/>
      <w:bookmarkStart w:id="1060" w:name="_Toc307501154"/>
      <w:bookmarkStart w:id="1061" w:name="_Toc4553"/>
      <w:bookmarkStart w:id="1062" w:name="_Toc11039"/>
      <w:bookmarkStart w:id="1063" w:name="_Toc26923"/>
      <w:bookmarkStart w:id="1064" w:name="_Toc183682415"/>
      <w:bookmarkStart w:id="1065" w:name="_Toc308188198"/>
      <w:bookmarkStart w:id="1066" w:name="_Toc21302"/>
      <w:bookmarkStart w:id="1067" w:name="_Toc309897563"/>
      <w:bookmarkStart w:id="1068" w:name="_Toc308084645"/>
      <w:bookmarkStart w:id="1069" w:name="_Toc327196339"/>
      <w:bookmarkStart w:id="1070" w:name="_Toc307564896"/>
      <w:bookmarkStart w:id="1071" w:name="_Toc217446097"/>
      <w:bookmarkStart w:id="1072" w:name="_Toc183582280"/>
      <w:bookmarkStart w:id="1073" w:name="_Toc25959"/>
      <w:bookmarkStart w:id="1074" w:name="_Toc319439946"/>
      <w:bookmarkStart w:id="1075" w:name="_Toc319440188"/>
      <w:bookmarkStart w:id="1076" w:name="_Toc25435"/>
      <w:bookmarkStart w:id="1077" w:name="_Toc2232"/>
      <w:r>
        <w:rPr>
          <w:rFonts w:hint="eastAsia"/>
          <w:color w:val="auto"/>
          <w:highlight w:val="none"/>
        </w:rPr>
        <w:t>评标办法</w:t>
      </w:r>
      <w:bookmarkEnd w:id="1053"/>
      <w:bookmarkEnd w:id="1054"/>
      <w:bookmarkEnd w:id="1055"/>
      <w:bookmarkStart w:id="1078" w:name="_Hlt101846155"/>
      <w:bookmarkEnd w:id="1078"/>
    </w:p>
    <w:p>
      <w:pPr>
        <w:pStyle w:val="26"/>
        <w:numPr>
          <w:ilvl w:val="1"/>
          <w:numId w:val="11"/>
        </w:numPr>
        <w:bidi w:val="0"/>
        <w:rPr>
          <w:rFonts w:hint="eastAsia"/>
          <w:color w:val="auto"/>
          <w:highlight w:val="none"/>
        </w:rPr>
      </w:pPr>
      <w:bookmarkStart w:id="1079" w:name="_Toc32537"/>
      <w:bookmarkStart w:id="1080" w:name="_Toc16563"/>
      <w:r>
        <w:rPr>
          <w:rFonts w:hint="eastAsia"/>
          <w:color w:val="auto"/>
          <w:highlight w:val="none"/>
        </w:rPr>
        <w:t>总则</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9"/>
      <w:bookmarkEnd w:id="1080"/>
    </w:p>
    <w:p>
      <w:pPr>
        <w:pStyle w:val="38"/>
        <w:numPr>
          <w:ilvl w:val="1"/>
          <w:numId w:val="30"/>
        </w:numPr>
        <w:bidi w:val="0"/>
        <w:rPr>
          <w:rFonts w:hint="eastAsia"/>
          <w:color w:val="auto"/>
          <w:highlight w:val="none"/>
        </w:rPr>
      </w:pPr>
      <w:r>
        <w:rPr>
          <w:rFonts w:hint="eastAsia"/>
          <w:color w:val="auto"/>
          <w:highlight w:val="none"/>
        </w:rPr>
        <w:t>根据《中华人民共和国政府采购法》、《中华人民共和国政府采购法实施条例》和《政府采购货物和服务招标投标管理办法》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w:t>
      </w:r>
      <w:r>
        <w:rPr>
          <w:rFonts w:hint="eastAsia"/>
          <w:color w:val="auto"/>
          <w:highlight w:val="none"/>
        </w:rPr>
        <w:t>等法律规章，结合采购项目特点制定本评标办法。</w:t>
      </w:r>
    </w:p>
    <w:p>
      <w:pPr>
        <w:pStyle w:val="38"/>
        <w:numPr>
          <w:ilvl w:val="1"/>
          <w:numId w:val="30"/>
        </w:numPr>
        <w:bidi w:val="0"/>
        <w:rPr>
          <w:rFonts w:hint="eastAsia"/>
          <w:color w:val="auto"/>
          <w:highlight w:val="none"/>
        </w:rPr>
      </w:pPr>
      <w:r>
        <w:rPr>
          <w:rFonts w:hint="eastAsia"/>
          <w:color w:val="auto"/>
          <w:highlight w:val="none"/>
        </w:rPr>
        <w:t>评标工作由采购代理机构负责组织，具体评标事务由采购代理机构依法组建的评标委员会负责。评标委员会由采购人代表和有关技术、经济等方面的专家组成。</w:t>
      </w:r>
    </w:p>
    <w:p>
      <w:pPr>
        <w:pStyle w:val="38"/>
        <w:numPr>
          <w:ilvl w:val="1"/>
          <w:numId w:val="30"/>
        </w:numPr>
        <w:bidi w:val="0"/>
        <w:rPr>
          <w:rFonts w:hint="eastAsia"/>
          <w:color w:val="auto"/>
          <w:highlight w:val="none"/>
        </w:rPr>
      </w:pPr>
      <w:r>
        <w:rPr>
          <w:rFonts w:hint="eastAsia"/>
          <w:color w:val="auto"/>
          <w:highlight w:val="none"/>
        </w:rPr>
        <w:t>评标工作应遵循公平、公正、科学及择优的原则，并以相同的评标程序和标准对待所有的投标人。</w:t>
      </w:r>
    </w:p>
    <w:p>
      <w:pPr>
        <w:pStyle w:val="38"/>
        <w:numPr>
          <w:ilvl w:val="1"/>
          <w:numId w:val="30"/>
        </w:numPr>
        <w:bidi w:val="0"/>
        <w:rPr>
          <w:rFonts w:hint="eastAsia"/>
          <w:color w:val="auto"/>
          <w:highlight w:val="none"/>
        </w:rPr>
      </w:pPr>
      <w:r>
        <w:rPr>
          <w:rFonts w:hint="eastAsia"/>
          <w:color w:val="auto"/>
          <w:highlight w:val="none"/>
        </w:rPr>
        <w:t>评标委员会按照招标文件规定的评标方法和标准进行评标，并独立履行下列职责：</w:t>
      </w:r>
    </w:p>
    <w:p>
      <w:pPr>
        <w:pStyle w:val="40"/>
        <w:bidi w:val="0"/>
        <w:rPr>
          <w:rFonts w:hint="eastAsia"/>
          <w:color w:val="auto"/>
          <w:highlight w:val="none"/>
        </w:rPr>
      </w:pPr>
      <w:bookmarkStart w:id="1081" w:name="_Toc217446098"/>
      <w:r>
        <w:rPr>
          <w:rFonts w:hint="eastAsia"/>
          <w:color w:val="auto"/>
          <w:highlight w:val="none"/>
        </w:rPr>
        <w:t>审查、评价投标文件是否符合招标文件的商务、技术等实质性要求；</w:t>
      </w:r>
    </w:p>
    <w:p>
      <w:pPr>
        <w:pStyle w:val="40"/>
        <w:bidi w:val="0"/>
        <w:rPr>
          <w:rFonts w:hint="eastAsia"/>
          <w:color w:val="auto"/>
          <w:highlight w:val="none"/>
        </w:rPr>
      </w:pPr>
      <w:r>
        <w:rPr>
          <w:rFonts w:hint="eastAsia"/>
          <w:color w:val="auto"/>
          <w:highlight w:val="none"/>
        </w:rPr>
        <w:t>要求投标人对投标文件有关事项作出澄清或者说明；</w:t>
      </w:r>
    </w:p>
    <w:p>
      <w:pPr>
        <w:pStyle w:val="40"/>
        <w:bidi w:val="0"/>
        <w:rPr>
          <w:rFonts w:hint="eastAsia"/>
          <w:color w:val="auto"/>
          <w:highlight w:val="none"/>
        </w:rPr>
      </w:pPr>
      <w:r>
        <w:rPr>
          <w:rFonts w:hint="eastAsia"/>
          <w:color w:val="auto"/>
          <w:highlight w:val="none"/>
        </w:rPr>
        <w:t>对投标文件进行比较和评价；</w:t>
      </w:r>
    </w:p>
    <w:p>
      <w:pPr>
        <w:pStyle w:val="40"/>
        <w:bidi w:val="0"/>
        <w:rPr>
          <w:rFonts w:hint="eastAsia"/>
          <w:color w:val="auto"/>
          <w:highlight w:val="none"/>
        </w:rPr>
      </w:pPr>
      <w:r>
        <w:rPr>
          <w:rFonts w:hint="eastAsia"/>
          <w:color w:val="auto"/>
          <w:highlight w:val="none"/>
        </w:rPr>
        <w:t>确定中标候选人名单；</w:t>
      </w:r>
    </w:p>
    <w:p>
      <w:pPr>
        <w:pStyle w:val="40"/>
        <w:bidi w:val="0"/>
        <w:rPr>
          <w:rFonts w:hint="eastAsia"/>
          <w:color w:val="auto"/>
          <w:highlight w:val="none"/>
        </w:rPr>
      </w:pPr>
      <w:r>
        <w:rPr>
          <w:rFonts w:hint="eastAsia"/>
          <w:color w:val="auto"/>
          <w:highlight w:val="none"/>
        </w:rPr>
        <w:t>向采购人、采购代理机构或者有关部门报告评标中发现的违法行为。</w:t>
      </w:r>
    </w:p>
    <w:p>
      <w:pPr>
        <w:pStyle w:val="38"/>
        <w:bidi w:val="0"/>
        <w:rPr>
          <w:rFonts w:hint="eastAsia"/>
          <w:color w:val="auto"/>
          <w:highlight w:val="none"/>
        </w:rPr>
      </w:pPr>
      <w:r>
        <w:rPr>
          <w:rFonts w:hint="eastAsia"/>
          <w:color w:val="auto"/>
          <w:highlight w:val="none"/>
        </w:rPr>
        <w:t>评标过程独立、保密。投标人非法干预评标过程的行为将导致其投标文件作为无效处理。</w:t>
      </w:r>
    </w:p>
    <w:p>
      <w:pPr>
        <w:pStyle w:val="38"/>
        <w:bidi w:val="0"/>
        <w:rPr>
          <w:rFonts w:hint="eastAsia"/>
          <w:color w:val="auto"/>
          <w:highlight w:val="none"/>
        </w:rPr>
      </w:pPr>
      <w:r>
        <w:rPr>
          <w:rFonts w:hint="eastAsia"/>
          <w:color w:val="auto"/>
          <w:highlight w:val="none"/>
        </w:rPr>
        <w:t>评标委员会评价投标文件的响应性，对于投标人而言，除评标委员会要求其澄清、说明或者纠正而提供的资料外，仅依据投标文件本身的内容，不寻求其他外部证据。</w:t>
      </w:r>
    </w:p>
    <w:p>
      <w:pPr>
        <w:pStyle w:val="38"/>
        <w:bidi w:val="0"/>
        <w:rPr>
          <w:rFonts w:hint="eastAsia"/>
          <w:color w:val="auto"/>
          <w:highlight w:val="none"/>
        </w:rPr>
      </w:pPr>
      <w:r>
        <w:rPr>
          <w:rFonts w:hint="eastAsia"/>
          <w:color w:val="auto"/>
          <w:highlight w:val="none"/>
        </w:rPr>
        <w:t>评委会发现招标文件表述不明确或需要说明的事项，可提请招标采购单位书面解释说明。发现招标文件违反有关法律、法规和规章的，可以拒绝评标，并向招标采购单位书面说明情况</w:t>
      </w:r>
      <w:r>
        <w:rPr>
          <w:rFonts w:hint="eastAsia"/>
          <w:color w:val="auto"/>
          <w:highlight w:val="none"/>
          <w:lang w:eastAsia="zh-CN"/>
        </w:rPr>
        <w:t>(</w:t>
      </w:r>
      <w:r>
        <w:rPr>
          <w:rFonts w:hint="eastAsia"/>
          <w:color w:val="auto"/>
          <w:highlight w:val="none"/>
          <w:lang w:val="en-US" w:eastAsia="zh-CN"/>
        </w:rPr>
        <w:t>注明法律法规依据)</w:t>
      </w:r>
      <w:r>
        <w:rPr>
          <w:rFonts w:hint="eastAsia"/>
          <w:color w:val="auto"/>
          <w:highlight w:val="none"/>
        </w:rPr>
        <w:t>。</w:t>
      </w:r>
    </w:p>
    <w:p>
      <w:pPr>
        <w:pStyle w:val="26"/>
        <w:numPr>
          <w:ilvl w:val="1"/>
          <w:numId w:val="11"/>
        </w:numPr>
        <w:bidi w:val="0"/>
        <w:rPr>
          <w:rFonts w:hint="eastAsia"/>
          <w:color w:val="auto"/>
          <w:highlight w:val="none"/>
        </w:rPr>
      </w:pPr>
      <w:bookmarkStart w:id="1082" w:name="_Toc25329"/>
      <w:bookmarkStart w:id="1083" w:name="_Toc26792"/>
      <w:bookmarkStart w:id="1084" w:name="_Toc23669"/>
      <w:bookmarkStart w:id="1085" w:name="_Toc319440189"/>
      <w:bookmarkStart w:id="1086" w:name="_Toc10398"/>
      <w:bookmarkStart w:id="1087" w:name="_Toc327196340"/>
      <w:bookmarkStart w:id="1088" w:name="_Toc5338"/>
      <w:bookmarkStart w:id="1089" w:name="_Toc14100"/>
      <w:bookmarkStart w:id="1090" w:name="_Toc12975"/>
      <w:bookmarkStart w:id="1091" w:name="_Toc8496"/>
      <w:bookmarkStart w:id="1092" w:name="_Toc3915"/>
      <w:bookmarkStart w:id="1093" w:name="_Toc3371"/>
      <w:bookmarkStart w:id="1094" w:name="_Toc5152"/>
      <w:bookmarkStart w:id="1095" w:name="_Toc25612"/>
      <w:r>
        <w:rPr>
          <w:rFonts w:hint="eastAsia"/>
          <w:color w:val="auto"/>
          <w:highlight w:val="none"/>
        </w:rPr>
        <w:t>评标方法</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pStyle w:val="29"/>
        <w:bidi w:val="0"/>
        <w:rPr>
          <w:rFonts w:hint="eastAsia"/>
          <w:color w:val="auto"/>
          <w:highlight w:val="none"/>
        </w:rPr>
      </w:pPr>
      <w:r>
        <w:rPr>
          <w:rFonts w:hint="eastAsia"/>
          <w:color w:val="auto"/>
          <w:highlight w:val="none"/>
        </w:rPr>
        <w:t>本项目评标方法为：综合评分法。</w:t>
      </w:r>
    </w:p>
    <w:p>
      <w:pPr>
        <w:pStyle w:val="26"/>
        <w:numPr>
          <w:ilvl w:val="1"/>
          <w:numId w:val="11"/>
        </w:numPr>
        <w:bidi w:val="0"/>
        <w:rPr>
          <w:rFonts w:hint="eastAsia"/>
          <w:color w:val="auto"/>
          <w:highlight w:val="none"/>
        </w:rPr>
      </w:pPr>
      <w:bookmarkStart w:id="1096" w:name="_Toc20383"/>
      <w:bookmarkStart w:id="1097" w:name="_Toc27103"/>
      <w:bookmarkStart w:id="1098" w:name="_Toc31119"/>
      <w:bookmarkStart w:id="1099" w:name="_Toc319440190"/>
      <w:bookmarkStart w:id="1100" w:name="_Toc9969"/>
      <w:bookmarkStart w:id="1101" w:name="_Toc17613"/>
      <w:bookmarkStart w:id="1102" w:name="_Toc23322"/>
      <w:bookmarkStart w:id="1103" w:name="_Toc7390"/>
      <w:bookmarkStart w:id="1104" w:name="_Toc12883"/>
      <w:bookmarkStart w:id="1105" w:name="_Toc17374"/>
      <w:bookmarkStart w:id="1106" w:name="_Toc5897"/>
      <w:bookmarkStart w:id="1107" w:name="_Toc19196"/>
      <w:bookmarkStart w:id="1108" w:name="_Toc327196341"/>
      <w:bookmarkStart w:id="1109" w:name="_Toc5906"/>
      <w:r>
        <w:rPr>
          <w:rFonts w:hint="eastAsia"/>
          <w:color w:val="auto"/>
          <w:highlight w:val="none"/>
        </w:rPr>
        <w:t>评标程序</w:t>
      </w:r>
      <w:bookmarkEnd w:id="1081"/>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pStyle w:val="38"/>
        <w:numPr>
          <w:ilvl w:val="1"/>
          <w:numId w:val="31"/>
        </w:numPr>
        <w:bidi w:val="0"/>
        <w:rPr>
          <w:rFonts w:hint="eastAsia"/>
          <w:color w:val="auto"/>
          <w:highlight w:val="none"/>
        </w:rPr>
      </w:pPr>
      <w:r>
        <w:rPr>
          <w:rFonts w:hint="eastAsia"/>
          <w:color w:val="auto"/>
          <w:highlight w:val="none"/>
          <w:lang w:val="en-US" w:eastAsia="zh-CN"/>
        </w:rPr>
        <w:t>熟悉</w:t>
      </w:r>
      <w:r>
        <w:rPr>
          <w:rFonts w:hint="eastAsia"/>
          <w:color w:val="auto"/>
          <w:highlight w:val="none"/>
        </w:rPr>
        <w:t>招标文件和停止评标</w:t>
      </w:r>
    </w:p>
    <w:p>
      <w:pPr>
        <w:pStyle w:val="40"/>
        <w:bidi w:val="0"/>
        <w:rPr>
          <w:rFonts w:hint="eastAsia"/>
          <w:color w:val="auto"/>
          <w:highlight w:val="none"/>
        </w:rPr>
      </w:pPr>
      <w:r>
        <w:rPr>
          <w:rFonts w:hint="eastAsia"/>
          <w:color w:val="auto"/>
          <w:highlight w:val="none"/>
        </w:rPr>
        <w:t>评标委员会正式评标前，应当</w:t>
      </w:r>
      <w:r>
        <w:rPr>
          <w:rFonts w:hint="eastAsia"/>
          <w:color w:val="auto"/>
          <w:highlight w:val="none"/>
          <w:lang w:val="en-US" w:eastAsia="zh-CN"/>
        </w:rPr>
        <w:t>熟悉招标文件</w:t>
      </w:r>
      <w:r>
        <w:rPr>
          <w:rFonts w:hint="eastAsia"/>
          <w:color w:val="auto"/>
          <w:highlight w:val="none"/>
        </w:rPr>
        <w:t>，主要包括招标文件中</w:t>
      </w:r>
      <w:r>
        <w:rPr>
          <w:rFonts w:hint="eastAsia"/>
          <w:color w:val="auto"/>
          <w:highlight w:val="none"/>
          <w:lang w:val="en-US" w:eastAsia="zh-CN"/>
        </w:rPr>
        <w:t>符合性审查内容</w:t>
      </w:r>
      <w:r>
        <w:rPr>
          <w:rFonts w:hint="eastAsia"/>
          <w:color w:val="auto"/>
          <w:highlight w:val="none"/>
        </w:rPr>
        <w:t>、采购项目技术、服务和商务要求、评标方法和标准以及政府采购合同主要条款等。</w:t>
      </w:r>
    </w:p>
    <w:p>
      <w:pPr>
        <w:pStyle w:val="40"/>
        <w:bidi w:val="0"/>
        <w:rPr>
          <w:rFonts w:hint="eastAsia"/>
          <w:color w:val="auto"/>
          <w:highlight w:val="none"/>
        </w:rPr>
      </w:pP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color w:val="auto"/>
          <w:highlight w:val="none"/>
          <w:lang w:eastAsia="zh-CN"/>
        </w:rPr>
        <w:t>。</w:t>
      </w:r>
    </w:p>
    <w:p>
      <w:pPr>
        <w:pStyle w:val="40"/>
        <w:bidi w:val="0"/>
        <w:rPr>
          <w:rFonts w:hint="eastAsia"/>
          <w:color w:val="auto"/>
          <w:highlight w:val="none"/>
        </w:rPr>
      </w:pPr>
      <w:r>
        <w:rPr>
          <w:rFonts w:hint="eastAsia"/>
          <w:color w:val="auto"/>
          <w:highlight w:val="none"/>
        </w:rPr>
        <w:t>评标过程中有下列情形之一的，评标委员会成员可以停止评标：</w:t>
      </w:r>
    </w:p>
    <w:p>
      <w:pPr>
        <w:pStyle w:val="41"/>
        <w:bidi w:val="0"/>
        <w:rPr>
          <w:rFonts w:hint="eastAsia"/>
          <w:color w:val="auto"/>
          <w:highlight w:val="none"/>
        </w:rPr>
      </w:pPr>
      <w:r>
        <w:rPr>
          <w:rFonts w:hint="eastAsia"/>
          <w:color w:val="auto"/>
          <w:highlight w:val="none"/>
        </w:rPr>
        <w:t>招标采购单位未提供必要的与采购项目有关的政策制度文件或者</w:t>
      </w:r>
      <w:r>
        <w:rPr>
          <w:rFonts w:hint="eastAsia"/>
          <w:color w:val="auto"/>
          <w:highlight w:val="none"/>
          <w:lang w:val="en-US" w:eastAsia="zh-CN"/>
        </w:rPr>
        <w:t>招标</w:t>
      </w:r>
      <w:r>
        <w:rPr>
          <w:rFonts w:hint="eastAsia"/>
          <w:color w:val="auto"/>
          <w:highlight w:val="none"/>
        </w:rPr>
        <w:t>文件，继续评标将导致违法或者错误评标的；</w:t>
      </w:r>
    </w:p>
    <w:p>
      <w:pPr>
        <w:pStyle w:val="41"/>
        <w:bidi w:val="0"/>
        <w:rPr>
          <w:rFonts w:hint="eastAsia"/>
          <w:color w:val="auto"/>
          <w:highlight w:val="none"/>
        </w:rPr>
      </w:pPr>
      <w:r>
        <w:rPr>
          <w:rFonts w:hint="eastAsia"/>
          <w:color w:val="auto"/>
          <w:highlight w:val="none"/>
        </w:rPr>
        <w:t>有关单位和个人非法干预评标委员会依法独立评标的；</w:t>
      </w:r>
    </w:p>
    <w:p>
      <w:pPr>
        <w:pStyle w:val="41"/>
        <w:bidi w:val="0"/>
        <w:rPr>
          <w:rFonts w:hint="eastAsia"/>
          <w:color w:val="auto"/>
          <w:highlight w:val="none"/>
        </w:rPr>
      </w:pPr>
      <w:r>
        <w:rPr>
          <w:rFonts w:hint="eastAsia"/>
          <w:color w:val="auto"/>
          <w:highlight w:val="none"/>
        </w:rPr>
        <w:t>其他导致评标委员会无法正常履职的情形。</w:t>
      </w:r>
    </w:p>
    <w:p>
      <w:pPr>
        <w:pStyle w:val="40"/>
        <w:bidi w:val="0"/>
        <w:rPr>
          <w:rFonts w:hint="eastAsia"/>
          <w:color w:val="auto"/>
          <w:highlight w:val="none"/>
        </w:rPr>
      </w:pPr>
      <w:r>
        <w:rPr>
          <w:rFonts w:hint="eastAsia"/>
          <w:color w:val="auto"/>
          <w:highlight w:val="none"/>
        </w:rPr>
        <w:t>出现本条规定应当停止评标或者可以停止评标情形的，评标委员会成员应当向招标采购单位书面说明情况。除本条规定的情形外，评标委员会成员不得以任何方式和理由停止评标。</w:t>
      </w:r>
    </w:p>
    <w:p>
      <w:pPr>
        <w:pStyle w:val="38"/>
        <w:bidi w:val="0"/>
        <w:rPr>
          <w:rFonts w:hint="eastAsia"/>
          <w:color w:val="auto"/>
          <w:highlight w:val="none"/>
          <w:lang w:val="en-US" w:eastAsia="zh-CN"/>
        </w:rPr>
      </w:pPr>
      <w:r>
        <w:rPr>
          <w:rFonts w:hint="eastAsia"/>
          <w:color w:val="auto"/>
          <w:highlight w:val="none"/>
          <w:lang w:val="en-US" w:eastAsia="zh-CN"/>
        </w:rPr>
        <w:t>符合性审查</w:t>
      </w:r>
    </w:p>
    <w:p>
      <w:pPr>
        <w:pStyle w:val="29"/>
        <w:bidi w:val="0"/>
        <w:rPr>
          <w:rFonts w:hint="eastAsia"/>
          <w:color w:val="auto"/>
          <w:highlight w:val="none"/>
        </w:rPr>
      </w:pPr>
      <w:r>
        <w:rPr>
          <w:rFonts w:hint="eastAsia"/>
          <w:color w:val="auto"/>
          <w:highlight w:val="none"/>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40"/>
        <w:bidi w:val="0"/>
        <w:rPr>
          <w:rFonts w:hint="eastAsia"/>
          <w:color w:val="auto"/>
          <w:highlight w:val="none"/>
        </w:rPr>
      </w:pPr>
      <w:r>
        <w:rPr>
          <w:rFonts w:hint="eastAsia"/>
          <w:color w:val="auto"/>
          <w:highlight w:val="none"/>
        </w:rPr>
        <w:t>投标文件</w:t>
      </w:r>
      <w:r>
        <w:rPr>
          <w:rFonts w:hint="eastAsia"/>
          <w:color w:val="auto"/>
          <w:highlight w:val="none"/>
          <w:lang w:eastAsia="zh-CN"/>
        </w:rPr>
        <w:t>(</w:t>
      </w:r>
      <w:r>
        <w:rPr>
          <w:rFonts w:hint="eastAsia"/>
          <w:color w:val="auto"/>
          <w:highlight w:val="none"/>
        </w:rPr>
        <w:t>包括单独递交的开标一览表</w:t>
      </w:r>
      <w:r>
        <w:rPr>
          <w:rFonts w:hint="eastAsia"/>
          <w:color w:val="auto"/>
          <w:highlight w:val="none"/>
          <w:lang w:eastAsia="zh-CN"/>
        </w:rPr>
        <w:t>)</w:t>
      </w:r>
      <w:r>
        <w:rPr>
          <w:rFonts w:hint="eastAsia"/>
          <w:color w:val="auto"/>
          <w:highlight w:val="none"/>
        </w:rPr>
        <w:t>有下列情形的，本项目不作为实质性要求进行规定，即不作为符合性审查事项，不得作为无效投标处理：</w:t>
      </w:r>
    </w:p>
    <w:p>
      <w:pPr>
        <w:pStyle w:val="41"/>
        <w:bidi w:val="0"/>
        <w:rPr>
          <w:rFonts w:hint="eastAsia"/>
          <w:color w:val="auto"/>
          <w:highlight w:val="none"/>
        </w:rPr>
      </w:pPr>
      <w:r>
        <w:rPr>
          <w:rFonts w:hint="eastAsia"/>
          <w:color w:val="auto"/>
          <w:highlight w:val="none"/>
        </w:rPr>
        <w:t>正副本数量齐全，只是未按照招标文件要求进行分装或者统装的；</w:t>
      </w:r>
    </w:p>
    <w:p>
      <w:pPr>
        <w:pStyle w:val="41"/>
        <w:bidi w:val="0"/>
        <w:rPr>
          <w:rFonts w:hint="eastAsia"/>
          <w:color w:val="auto"/>
          <w:highlight w:val="none"/>
        </w:rPr>
      </w:pPr>
      <w:r>
        <w:rPr>
          <w:rFonts w:hint="eastAsia"/>
          <w:color w:val="auto"/>
          <w:highlight w:val="none"/>
        </w:rPr>
        <w:t>存在个别地方</w:t>
      </w:r>
      <w:r>
        <w:rPr>
          <w:rFonts w:hint="eastAsia"/>
          <w:color w:val="auto"/>
          <w:highlight w:val="none"/>
          <w:lang w:eastAsia="zh-CN"/>
        </w:rPr>
        <w:t>(</w:t>
      </w:r>
      <w:r>
        <w:rPr>
          <w:rFonts w:hint="eastAsia"/>
          <w:color w:val="auto"/>
          <w:highlight w:val="none"/>
        </w:rPr>
        <w:t>不超过2个</w:t>
      </w:r>
      <w:r>
        <w:rPr>
          <w:rFonts w:hint="eastAsia"/>
          <w:color w:val="auto"/>
          <w:highlight w:val="none"/>
          <w:lang w:eastAsia="zh-CN"/>
        </w:rPr>
        <w:t>)</w:t>
      </w:r>
      <w:r>
        <w:rPr>
          <w:rFonts w:hint="eastAsia"/>
          <w:color w:val="auto"/>
          <w:highlight w:val="none"/>
        </w:rPr>
        <w:t>没有法定代表人签字，但有法定代表人的私人印章或者有效授权代理人签字的；</w:t>
      </w:r>
    </w:p>
    <w:p>
      <w:pPr>
        <w:pStyle w:val="41"/>
        <w:bidi w:val="0"/>
        <w:rPr>
          <w:rFonts w:hint="eastAsia"/>
          <w:color w:val="auto"/>
          <w:highlight w:val="none"/>
        </w:rPr>
      </w:pPr>
      <w:r>
        <w:rPr>
          <w:rFonts w:hint="eastAsia"/>
          <w:color w:val="auto"/>
          <w:highlight w:val="none"/>
        </w:rPr>
        <w:t>除招标文件明确要求加盖单位(法人)公章的以外，其他地方以相关专用章加盖的；</w:t>
      </w:r>
    </w:p>
    <w:p>
      <w:pPr>
        <w:pStyle w:val="41"/>
        <w:bidi w:val="0"/>
        <w:rPr>
          <w:rFonts w:hint="eastAsia"/>
          <w:color w:val="auto"/>
          <w:highlight w:val="none"/>
        </w:rPr>
      </w:pPr>
      <w:r>
        <w:rPr>
          <w:rFonts w:hint="eastAsia"/>
          <w:color w:val="auto"/>
          <w:highlight w:val="none"/>
        </w:rPr>
        <w:t>以骑缝章的形式代替投标文件内容逐页盖章的</w:t>
      </w:r>
      <w:r>
        <w:rPr>
          <w:rFonts w:hint="eastAsia"/>
          <w:color w:val="auto"/>
          <w:highlight w:val="none"/>
          <w:lang w:eastAsia="zh-CN"/>
        </w:rPr>
        <w:t>(</w:t>
      </w:r>
      <w:r>
        <w:rPr>
          <w:rFonts w:hint="eastAsia"/>
          <w:color w:val="auto"/>
          <w:highlight w:val="none"/>
        </w:rPr>
        <w:t>但是骑缝章模糊不清，印章名称无法辨认的除外</w:t>
      </w:r>
      <w:r>
        <w:rPr>
          <w:rFonts w:hint="eastAsia"/>
          <w:color w:val="auto"/>
          <w:highlight w:val="none"/>
          <w:lang w:eastAsia="zh-CN"/>
        </w:rPr>
        <w:t>)</w:t>
      </w:r>
      <w:r>
        <w:rPr>
          <w:rFonts w:hint="eastAsia"/>
          <w:color w:val="auto"/>
          <w:highlight w:val="none"/>
        </w:rPr>
        <w:t>；</w:t>
      </w:r>
    </w:p>
    <w:p>
      <w:pPr>
        <w:pStyle w:val="41"/>
        <w:bidi w:val="0"/>
        <w:rPr>
          <w:rFonts w:hint="eastAsia"/>
          <w:color w:val="auto"/>
          <w:highlight w:val="none"/>
        </w:rPr>
      </w:pPr>
      <w:r>
        <w:rPr>
          <w:rFonts w:hint="eastAsia"/>
          <w:color w:val="auto"/>
          <w:highlight w:val="none"/>
        </w:rPr>
        <w:t>其他不影响采购项目实质性要求的情形。</w:t>
      </w:r>
    </w:p>
    <w:p>
      <w:pPr>
        <w:pStyle w:val="40"/>
        <w:bidi w:val="0"/>
        <w:rPr>
          <w:rFonts w:hint="eastAsia"/>
          <w:color w:val="auto"/>
          <w:highlight w:val="none"/>
        </w:rPr>
      </w:pPr>
      <w:r>
        <w:rPr>
          <w:rFonts w:hint="eastAsia"/>
          <w:color w:val="auto"/>
          <w:highlight w:val="none"/>
        </w:rPr>
        <w:t>除政府采购法律制度规定的情形外，本项目投标人或者其投标文件有下列情形之一的，作为无效投标处理：</w:t>
      </w:r>
    </w:p>
    <w:p>
      <w:pPr>
        <w:pStyle w:val="41"/>
        <w:bidi w:val="0"/>
        <w:rPr>
          <w:rFonts w:hint="eastAsia"/>
          <w:color w:val="auto"/>
          <w:highlight w:val="none"/>
        </w:rPr>
      </w:pPr>
      <w:r>
        <w:rPr>
          <w:rFonts w:hint="eastAsia"/>
          <w:color w:val="auto"/>
          <w:highlight w:val="none"/>
        </w:rPr>
        <w:t>投标文件正副本数量不足的；</w:t>
      </w:r>
    </w:p>
    <w:p>
      <w:pPr>
        <w:pStyle w:val="41"/>
        <w:bidi w:val="0"/>
        <w:rPr>
          <w:rFonts w:hint="eastAsia"/>
          <w:color w:val="auto"/>
          <w:highlight w:val="none"/>
        </w:rPr>
      </w:pPr>
      <w:r>
        <w:rPr>
          <w:rFonts w:hint="eastAsia"/>
          <w:color w:val="auto"/>
          <w:highlight w:val="none"/>
        </w:rPr>
        <w:t>投标文件组成明显不符合招标文件的规定要求，影响评标委员会评判的；</w:t>
      </w:r>
    </w:p>
    <w:p>
      <w:pPr>
        <w:pStyle w:val="41"/>
        <w:bidi w:val="0"/>
        <w:rPr>
          <w:rFonts w:hint="eastAsia"/>
          <w:color w:val="auto"/>
          <w:highlight w:val="none"/>
        </w:rPr>
      </w:pPr>
      <w:r>
        <w:rPr>
          <w:rFonts w:hint="eastAsia"/>
          <w:color w:val="auto"/>
          <w:highlight w:val="none"/>
        </w:rPr>
        <w:t>投标文件的格式、语言、计量单位、报价货币、知识产权、投标有效期等不符合招标文件的规定，影响评标委员会评判的；</w:t>
      </w:r>
    </w:p>
    <w:p>
      <w:pPr>
        <w:pStyle w:val="41"/>
        <w:bidi w:val="0"/>
        <w:rPr>
          <w:rFonts w:hint="eastAsia"/>
          <w:color w:val="auto"/>
          <w:highlight w:val="none"/>
        </w:rPr>
      </w:pPr>
      <w:r>
        <w:rPr>
          <w:rFonts w:hint="eastAsia"/>
          <w:color w:val="auto"/>
          <w:highlight w:val="none"/>
        </w:rPr>
        <w:t>投标报价不符合招标文件规定的价格标底和其他报价规定的；</w:t>
      </w:r>
    </w:p>
    <w:p>
      <w:pPr>
        <w:pStyle w:val="41"/>
        <w:bidi w:val="0"/>
        <w:rPr>
          <w:rFonts w:hint="eastAsia"/>
          <w:color w:val="auto"/>
          <w:highlight w:val="none"/>
        </w:rPr>
      </w:pPr>
      <w:r>
        <w:rPr>
          <w:rFonts w:hint="eastAsia"/>
          <w:color w:val="auto"/>
          <w:highlight w:val="none"/>
        </w:rPr>
        <w:t>技术、服务应答内容没有完全响应招标文件的实质性要求的；</w:t>
      </w:r>
    </w:p>
    <w:p>
      <w:pPr>
        <w:pStyle w:val="41"/>
        <w:bidi w:val="0"/>
        <w:rPr>
          <w:rFonts w:hint="eastAsia"/>
          <w:color w:val="auto"/>
          <w:highlight w:val="none"/>
        </w:rPr>
      </w:pPr>
      <w:r>
        <w:rPr>
          <w:rFonts w:hint="eastAsia"/>
          <w:color w:val="auto"/>
          <w:highlight w:val="none"/>
        </w:rPr>
        <w:t>招标文件有明确要求，但投标文件未载明或者载明的采购项目履约时间、方式、数量与招标文件要求不一致的</w:t>
      </w:r>
      <w:r>
        <w:rPr>
          <w:rFonts w:hint="eastAsia"/>
          <w:color w:val="auto"/>
          <w:highlight w:val="none"/>
          <w:lang w:eastAsia="zh-CN"/>
        </w:rPr>
        <w:t>；</w:t>
      </w:r>
    </w:p>
    <w:p>
      <w:pPr>
        <w:pStyle w:val="41"/>
        <w:bidi w:val="0"/>
        <w:rPr>
          <w:rFonts w:hint="eastAsia"/>
          <w:color w:val="auto"/>
          <w:highlight w:val="none"/>
        </w:rPr>
      </w:pPr>
      <w:r>
        <w:rPr>
          <w:rFonts w:hint="eastAsia"/>
          <w:color w:val="auto"/>
          <w:highlight w:val="none"/>
        </w:rPr>
        <w:t>投标文件含有采购人不能接受的附加条件的</w:t>
      </w:r>
      <w:r>
        <w:rPr>
          <w:rFonts w:hint="eastAsia"/>
          <w:color w:val="auto"/>
          <w:highlight w:val="none"/>
          <w:lang w:eastAsia="zh-CN"/>
        </w:rPr>
        <w:t>。</w:t>
      </w:r>
    </w:p>
    <w:p>
      <w:pPr>
        <w:pStyle w:val="38"/>
        <w:bidi w:val="0"/>
        <w:rPr>
          <w:rFonts w:hint="eastAsia"/>
          <w:color w:val="auto"/>
          <w:highlight w:val="none"/>
          <w:lang w:val="en-US" w:eastAsia="zh-CN"/>
        </w:rPr>
      </w:pPr>
      <w:r>
        <w:rPr>
          <w:rFonts w:hint="eastAsia"/>
          <w:color w:val="auto"/>
          <w:highlight w:val="none"/>
          <w:lang w:val="en-US" w:eastAsia="zh-CN"/>
        </w:rPr>
        <w:t>比较与评价</w:t>
      </w:r>
    </w:p>
    <w:p>
      <w:pPr>
        <w:pStyle w:val="29"/>
        <w:bidi w:val="0"/>
        <w:rPr>
          <w:rFonts w:hint="eastAsia"/>
          <w:color w:val="auto"/>
          <w:highlight w:val="none"/>
        </w:rPr>
      </w:pPr>
      <w:r>
        <w:rPr>
          <w:rFonts w:hint="eastAsia"/>
          <w:color w:val="auto"/>
          <w:highlight w:val="none"/>
          <w:lang w:val="en-US" w:eastAsia="zh-CN"/>
        </w:rPr>
        <w:t>评标委员会应当按照</w:t>
      </w:r>
      <w:r>
        <w:rPr>
          <w:rFonts w:hint="eastAsia"/>
          <w:color w:val="auto"/>
          <w:highlight w:val="none"/>
        </w:rPr>
        <w:t>招标文件中规定的评标方法和标准，对</w:t>
      </w:r>
      <w:r>
        <w:rPr>
          <w:rFonts w:hint="eastAsia"/>
          <w:color w:val="auto"/>
          <w:highlight w:val="none"/>
          <w:lang w:val="en-US" w:eastAsia="zh-CN"/>
        </w:rPr>
        <w:t>符合性审查合格的</w:t>
      </w:r>
      <w:r>
        <w:rPr>
          <w:rFonts w:hint="eastAsia"/>
          <w:color w:val="auto"/>
          <w:highlight w:val="none"/>
        </w:rPr>
        <w:t>投标文件进行商务</w:t>
      </w:r>
      <w:r>
        <w:rPr>
          <w:rFonts w:hint="eastAsia"/>
          <w:color w:val="auto"/>
          <w:highlight w:val="none"/>
          <w:lang w:val="en-US" w:eastAsia="zh-CN"/>
        </w:rPr>
        <w:t>和技术</w:t>
      </w:r>
      <w:r>
        <w:rPr>
          <w:rFonts w:hint="eastAsia"/>
          <w:color w:val="auto"/>
          <w:highlight w:val="none"/>
        </w:rPr>
        <w:t>评估，综合比较与评价。</w:t>
      </w:r>
    </w:p>
    <w:p>
      <w:pPr>
        <w:pStyle w:val="38"/>
        <w:bidi w:val="0"/>
        <w:rPr>
          <w:rFonts w:hint="eastAsia"/>
          <w:color w:val="auto"/>
          <w:highlight w:val="none"/>
          <w:lang w:val="en-US" w:eastAsia="zh-CN"/>
        </w:rPr>
      </w:pPr>
      <w:r>
        <w:rPr>
          <w:rFonts w:hint="eastAsia"/>
          <w:color w:val="auto"/>
          <w:highlight w:val="none"/>
          <w:lang w:val="en-US" w:eastAsia="zh-CN"/>
        </w:rPr>
        <w:t>评标争议处理规则</w:t>
      </w:r>
    </w:p>
    <w:p>
      <w:pPr>
        <w:pStyle w:val="29"/>
        <w:bidi w:val="0"/>
        <w:rPr>
          <w:rFonts w:hint="eastAsia"/>
          <w:color w:val="auto"/>
          <w:highlight w:val="none"/>
        </w:rPr>
      </w:pPr>
      <w:r>
        <w:rPr>
          <w:rFonts w:hint="eastAsia"/>
          <w:color w:val="auto"/>
          <w:highlight w:val="none"/>
        </w:rPr>
        <w:t>评标委员会成员在评标过程中，对于符合性</w:t>
      </w:r>
      <w:r>
        <w:rPr>
          <w:rFonts w:hint="eastAsia"/>
          <w:color w:val="auto"/>
          <w:highlight w:val="none"/>
          <w:lang w:val="en-US" w:eastAsia="zh-CN"/>
        </w:rPr>
        <w:t>审</w:t>
      </w:r>
      <w:r>
        <w:rPr>
          <w:rFonts w:hint="eastAsia"/>
          <w:color w:val="auto"/>
          <w:highlight w:val="none"/>
        </w:rPr>
        <w:t>查、对供应商投标文件做无效处理等需要共同认定的事项存在争议的，应当以少数服从多数的原则处理，但不得违背法律法规和招标文件规定。有不同意见的评标委员会成员认为认定过程和结果不符合法律法规或者招标文件规定的，应当及时向招标采购单位书面反映。</w:t>
      </w:r>
    </w:p>
    <w:p>
      <w:pPr>
        <w:pStyle w:val="38"/>
        <w:bidi w:val="0"/>
        <w:rPr>
          <w:rFonts w:hint="eastAsia"/>
          <w:color w:val="auto"/>
          <w:highlight w:val="none"/>
          <w:lang w:val="en-US" w:eastAsia="zh-CN"/>
        </w:rPr>
      </w:pPr>
      <w:r>
        <w:rPr>
          <w:rFonts w:hint="eastAsia"/>
          <w:color w:val="auto"/>
          <w:highlight w:val="none"/>
          <w:lang w:val="en-US" w:eastAsia="zh-CN"/>
        </w:rPr>
        <w:t>供应商应当书面澄清、说明或者纠正</w:t>
      </w:r>
    </w:p>
    <w:p>
      <w:pPr>
        <w:pStyle w:val="40"/>
        <w:bidi w:val="0"/>
        <w:rPr>
          <w:rFonts w:hint="eastAsia"/>
          <w:color w:val="auto"/>
          <w:highlight w:val="none"/>
        </w:rPr>
      </w:pPr>
      <w:r>
        <w:rPr>
          <w:rFonts w:hint="eastAsia"/>
          <w:color w:val="auto"/>
          <w:highlight w:val="none"/>
        </w:rPr>
        <w:t>在评标过程中，评标委员会对投标文件中含义不明确、同类问题表述不一致或者有明显文字和计算错误的内容，应当以书面形式</w:t>
      </w:r>
      <w:r>
        <w:rPr>
          <w:rFonts w:hint="eastAsia"/>
          <w:color w:val="auto"/>
          <w:highlight w:val="none"/>
          <w:lang w:eastAsia="zh-CN"/>
        </w:rPr>
        <w:t>(</w:t>
      </w:r>
      <w:r>
        <w:rPr>
          <w:rFonts w:hint="eastAsia"/>
          <w:color w:val="auto"/>
          <w:highlight w:val="none"/>
        </w:rPr>
        <w:t>须由评标委员会全体成员签字</w:t>
      </w:r>
      <w:r>
        <w:rPr>
          <w:rFonts w:hint="eastAsia"/>
          <w:color w:val="auto"/>
          <w:highlight w:val="none"/>
          <w:lang w:eastAsia="zh-CN"/>
        </w:rPr>
        <w:t>)</w:t>
      </w:r>
      <w:r>
        <w:rPr>
          <w:rFonts w:hint="eastAsia"/>
          <w:color w:val="auto"/>
          <w:highlight w:val="none"/>
        </w:rPr>
        <w:t>要求供应商作出必要的书面澄清、说明或者纠正，并给予供应商必要的反馈时间。</w:t>
      </w:r>
    </w:p>
    <w:p>
      <w:pPr>
        <w:pStyle w:val="40"/>
        <w:bidi w:val="0"/>
        <w:rPr>
          <w:rFonts w:hint="eastAsia"/>
          <w:color w:val="auto"/>
          <w:highlight w:val="none"/>
        </w:rPr>
      </w:pPr>
      <w:r>
        <w:rPr>
          <w:rFonts w:hint="eastAsia"/>
          <w:color w:val="auto"/>
          <w:highlight w:val="none"/>
        </w:rPr>
        <w:t>供应商应当书面澄清、说明或者纠正，并加盖公章或签字确认</w:t>
      </w:r>
      <w:r>
        <w:rPr>
          <w:rFonts w:hint="eastAsia"/>
          <w:color w:val="auto"/>
          <w:highlight w:val="none"/>
          <w:lang w:eastAsia="zh-CN"/>
        </w:rPr>
        <w:t>(</w:t>
      </w:r>
      <w:r>
        <w:rPr>
          <w:rFonts w:hint="eastAsia"/>
          <w:color w:val="auto"/>
          <w:highlight w:val="none"/>
        </w:rPr>
        <w:t>供应商为法人的，应当由其法定代表人或者代理人签字确认；供应商为其他组织的，应当由其主要负责人或者代理人签字确认；供应商为自然人的，应当由其本人或者代理人签字确认</w:t>
      </w:r>
      <w:r>
        <w:rPr>
          <w:rFonts w:hint="eastAsia"/>
          <w:color w:val="auto"/>
          <w:highlight w:val="none"/>
          <w:lang w:eastAsia="zh-CN"/>
        </w:rPr>
        <w:t>)</w:t>
      </w:r>
      <w:r>
        <w:rPr>
          <w:rFonts w:hint="eastAsia"/>
          <w:color w:val="auto"/>
          <w:highlight w:val="none"/>
        </w:rPr>
        <w:t>，否则无效。澄清、说明或者纠正不影响投标文件的效力，有效的澄清、说明或者纠正材料，是投标文件的组成部分。</w:t>
      </w:r>
    </w:p>
    <w:p>
      <w:pPr>
        <w:pStyle w:val="40"/>
        <w:bidi w:val="0"/>
        <w:rPr>
          <w:rFonts w:hint="eastAsia"/>
          <w:color w:val="auto"/>
          <w:highlight w:val="none"/>
        </w:rPr>
      </w:pPr>
      <w:r>
        <w:rPr>
          <w:rFonts w:hint="eastAsia"/>
          <w:color w:val="auto"/>
          <w:highlight w:val="none"/>
        </w:rPr>
        <w:t>评标委员会要求供应商澄清、说明或者更正，不得超出招标文件的范围，不得以此让供应商实质改变投标文件的内容，不得影响供应商公平竞争。本项目下列内容不得澄清：</w:t>
      </w:r>
    </w:p>
    <w:p>
      <w:pPr>
        <w:pStyle w:val="41"/>
        <w:bidi w:val="0"/>
        <w:rPr>
          <w:rFonts w:hint="eastAsia"/>
          <w:color w:val="auto"/>
          <w:highlight w:val="none"/>
        </w:rPr>
      </w:pPr>
      <w:r>
        <w:rPr>
          <w:rFonts w:hint="eastAsia"/>
          <w:color w:val="auto"/>
          <w:highlight w:val="none"/>
        </w:rPr>
        <w:t>按财政部规定应当在评标时不予承认的投标文件内容事项；</w:t>
      </w:r>
    </w:p>
    <w:p>
      <w:pPr>
        <w:pStyle w:val="41"/>
        <w:bidi w:val="0"/>
        <w:rPr>
          <w:rFonts w:hint="eastAsia"/>
          <w:color w:val="auto"/>
          <w:highlight w:val="none"/>
        </w:rPr>
      </w:pPr>
      <w:r>
        <w:rPr>
          <w:rFonts w:hint="eastAsia"/>
          <w:color w:val="auto"/>
          <w:highlight w:val="none"/>
        </w:rPr>
        <w:t>投标文件中已经明确的内容事项；</w:t>
      </w:r>
    </w:p>
    <w:p>
      <w:pPr>
        <w:pStyle w:val="41"/>
        <w:bidi w:val="0"/>
        <w:rPr>
          <w:rFonts w:hint="eastAsia"/>
          <w:color w:val="auto"/>
          <w:highlight w:val="none"/>
        </w:rPr>
      </w:pPr>
      <w:r>
        <w:rPr>
          <w:rFonts w:hint="eastAsia"/>
          <w:color w:val="auto"/>
          <w:highlight w:val="none"/>
        </w:rPr>
        <w:t>投标文件未提供的材料。</w:t>
      </w:r>
    </w:p>
    <w:p>
      <w:pPr>
        <w:pStyle w:val="40"/>
        <w:bidi w:val="0"/>
        <w:rPr>
          <w:rFonts w:hint="eastAsia"/>
          <w:color w:val="auto"/>
          <w:highlight w:val="none"/>
        </w:rPr>
      </w:pPr>
      <w:r>
        <w:rPr>
          <w:rFonts w:hint="eastAsia"/>
          <w:color w:val="auto"/>
          <w:highlight w:val="none"/>
        </w:rPr>
        <w:t>本项目采购过程中，投标文件出现下列情况的，不需要供应商澄清、说明或者纠正，按照以下原则处理：</w:t>
      </w:r>
    </w:p>
    <w:p>
      <w:pPr>
        <w:pStyle w:val="41"/>
        <w:bidi w:val="0"/>
        <w:rPr>
          <w:rFonts w:hint="eastAsia"/>
          <w:color w:val="auto"/>
          <w:highlight w:val="none"/>
        </w:rPr>
      </w:pPr>
      <w:r>
        <w:rPr>
          <w:rFonts w:hint="eastAsia"/>
          <w:color w:val="auto"/>
          <w:highlight w:val="none"/>
        </w:rPr>
        <w:t>投标文件的大写金额和小写金额不一致的，以大写金额为准，但大写金额出现文字错误，导致金额无法判断的除外；</w:t>
      </w:r>
    </w:p>
    <w:p>
      <w:pPr>
        <w:pStyle w:val="41"/>
        <w:bidi w:val="0"/>
        <w:rPr>
          <w:rFonts w:hint="eastAsia"/>
          <w:color w:val="auto"/>
          <w:highlight w:val="none"/>
        </w:rPr>
      </w:pPr>
      <w:r>
        <w:rPr>
          <w:rFonts w:hint="eastAsia"/>
          <w:color w:val="auto"/>
          <w:highlight w:val="none"/>
        </w:rPr>
        <w:t>总价金额与按单价汇总金额不一致的，以单价汇总金额计算结果为准，但是单价金额出现计算错误、明显人为工作失误的除外；</w:t>
      </w:r>
    </w:p>
    <w:p>
      <w:pPr>
        <w:pStyle w:val="41"/>
        <w:bidi w:val="0"/>
        <w:rPr>
          <w:rFonts w:hint="eastAsia"/>
          <w:color w:val="auto"/>
          <w:highlight w:val="none"/>
        </w:rPr>
      </w:pPr>
      <w:r>
        <w:rPr>
          <w:rFonts w:hint="eastAsia"/>
          <w:color w:val="auto"/>
          <w:highlight w:val="none"/>
        </w:rPr>
        <w:t>单价金额小数点有明显错位的，应以总价为准，并修改单价；</w:t>
      </w:r>
    </w:p>
    <w:p>
      <w:pPr>
        <w:pStyle w:val="41"/>
        <w:bidi w:val="0"/>
        <w:rPr>
          <w:rFonts w:hint="eastAsia"/>
          <w:color w:val="auto"/>
          <w:highlight w:val="none"/>
        </w:rPr>
      </w:pPr>
      <w:r>
        <w:rPr>
          <w:rFonts w:hint="eastAsia"/>
          <w:color w:val="auto"/>
          <w:highlight w:val="none"/>
        </w:rPr>
        <w:t>对不同语言文本投标文件的解释发生异议的，以中文文本为准。</w:t>
      </w:r>
    </w:p>
    <w:p>
      <w:pPr>
        <w:pStyle w:val="29"/>
        <w:bidi w:val="0"/>
        <w:rPr>
          <w:rFonts w:hint="eastAsia"/>
          <w:color w:val="auto"/>
          <w:highlight w:val="none"/>
        </w:rPr>
      </w:pPr>
      <w:r>
        <w:rPr>
          <w:rFonts w:hint="eastAsia"/>
          <w:color w:val="auto"/>
          <w:highlight w:val="none"/>
        </w:rPr>
        <w:t>出现本条第</w:t>
      </w:r>
      <w:r>
        <w:rPr>
          <w:rFonts w:hint="eastAsia"/>
          <w:color w:val="auto"/>
          <w:highlight w:val="none"/>
          <w:lang w:val="en-US" w:eastAsia="zh-CN"/>
        </w:rPr>
        <w:t>4.2</w:t>
      </w:r>
      <w:r>
        <w:rPr>
          <w:rFonts w:hint="eastAsia"/>
          <w:color w:val="auto"/>
          <w:highlight w:val="none"/>
        </w:rPr>
        <w:t>项规定情形，单价汇总金额比总价金额高，且超过政府采购预算或者本项目最高限价的，供应商投标文件应作为无效投标处理；单价汇总金额比总价金额高，但未超过政府采购预算或者本项目最高限价的，应以单价汇总金额作为价格评分依据。</w:t>
      </w:r>
    </w:p>
    <w:p>
      <w:pPr>
        <w:pStyle w:val="50"/>
        <w:bidi w:val="0"/>
        <w:rPr>
          <w:rFonts w:hint="eastAsia"/>
          <w:color w:val="auto"/>
          <w:highlight w:val="none"/>
        </w:rPr>
      </w:pPr>
      <w:r>
        <w:rPr>
          <w:rFonts w:hint="eastAsia"/>
          <w:color w:val="auto"/>
          <w:highlight w:val="none"/>
        </w:rPr>
        <w:t>注：评标委员会成员应当积极履行澄清、说明或者纠正的职责，不得将应当澄清、说明或者纠正的投标文件作无效投标处理。</w:t>
      </w:r>
    </w:p>
    <w:p>
      <w:pPr>
        <w:pStyle w:val="38"/>
        <w:bidi w:val="0"/>
        <w:rPr>
          <w:rFonts w:hint="eastAsia"/>
          <w:color w:val="auto"/>
          <w:highlight w:val="none"/>
        </w:rPr>
      </w:pPr>
      <w:r>
        <w:rPr>
          <w:rFonts w:hint="eastAsia"/>
          <w:color w:val="auto"/>
          <w:highlight w:val="none"/>
        </w:rPr>
        <w:t>投标文件报价出现前后不一致的，除招标文件另有规定外，按照下列规定修正：</w:t>
      </w:r>
    </w:p>
    <w:p>
      <w:pPr>
        <w:pStyle w:val="40"/>
        <w:bidi w:val="0"/>
        <w:rPr>
          <w:rFonts w:hint="eastAsia"/>
          <w:color w:val="auto"/>
          <w:highlight w:val="none"/>
        </w:rPr>
      </w:pPr>
      <w:r>
        <w:rPr>
          <w:rFonts w:hint="eastAsia"/>
          <w:color w:val="auto"/>
          <w:highlight w:val="none"/>
        </w:rPr>
        <w:t>投标文件中开标一览表</w:t>
      </w:r>
      <w:r>
        <w:rPr>
          <w:rFonts w:hint="eastAsia"/>
          <w:color w:val="auto"/>
          <w:highlight w:val="none"/>
          <w:lang w:eastAsia="zh-CN"/>
        </w:rPr>
        <w:t>(</w:t>
      </w:r>
      <w:r>
        <w:rPr>
          <w:rFonts w:hint="eastAsia"/>
          <w:color w:val="auto"/>
          <w:highlight w:val="none"/>
        </w:rPr>
        <w:t>报价表</w:t>
      </w:r>
      <w:r>
        <w:rPr>
          <w:rFonts w:hint="eastAsia"/>
          <w:color w:val="auto"/>
          <w:highlight w:val="none"/>
          <w:lang w:eastAsia="zh-CN"/>
        </w:rPr>
        <w:t>)</w:t>
      </w:r>
      <w:r>
        <w:rPr>
          <w:rFonts w:hint="eastAsia"/>
          <w:color w:val="auto"/>
          <w:highlight w:val="none"/>
        </w:rPr>
        <w:t>内容与投标文件中相应内容不一致的，以开标唱标</w:t>
      </w:r>
      <w:r>
        <w:rPr>
          <w:rFonts w:hint="eastAsia"/>
          <w:color w:val="auto"/>
          <w:highlight w:val="none"/>
          <w:lang w:eastAsia="zh-CN"/>
        </w:rPr>
        <w:t>时</w:t>
      </w:r>
      <w:r>
        <w:rPr>
          <w:rFonts w:hint="eastAsia"/>
          <w:color w:val="auto"/>
          <w:highlight w:val="none"/>
        </w:rPr>
        <w:t>单独提交的开标一览表</w:t>
      </w:r>
      <w:r>
        <w:rPr>
          <w:rFonts w:hint="eastAsia"/>
          <w:color w:val="auto"/>
          <w:highlight w:val="none"/>
          <w:lang w:eastAsia="zh-CN"/>
        </w:rPr>
        <w:t>(</w:t>
      </w:r>
      <w:r>
        <w:rPr>
          <w:rFonts w:hint="eastAsia"/>
          <w:color w:val="auto"/>
          <w:highlight w:val="none"/>
        </w:rPr>
        <w:t>报价表</w:t>
      </w:r>
      <w:r>
        <w:rPr>
          <w:rFonts w:hint="eastAsia"/>
          <w:color w:val="auto"/>
          <w:highlight w:val="none"/>
          <w:lang w:eastAsia="zh-CN"/>
        </w:rPr>
        <w:t>)</w:t>
      </w:r>
      <w:r>
        <w:rPr>
          <w:rFonts w:hint="eastAsia"/>
          <w:color w:val="auto"/>
          <w:highlight w:val="none"/>
        </w:rPr>
        <w:t>为准；</w:t>
      </w:r>
    </w:p>
    <w:p>
      <w:pPr>
        <w:pStyle w:val="40"/>
        <w:bidi w:val="0"/>
        <w:rPr>
          <w:rFonts w:hint="eastAsia"/>
          <w:color w:val="auto"/>
          <w:highlight w:val="none"/>
        </w:rPr>
      </w:pPr>
      <w:r>
        <w:rPr>
          <w:rFonts w:hint="eastAsia"/>
          <w:color w:val="auto"/>
          <w:highlight w:val="none"/>
        </w:rPr>
        <w:t>大写金额和小写金额不一致的，以大写金额为准；</w:t>
      </w:r>
    </w:p>
    <w:p>
      <w:pPr>
        <w:pStyle w:val="40"/>
        <w:bidi w:val="0"/>
        <w:rPr>
          <w:rFonts w:hint="eastAsia"/>
          <w:color w:val="auto"/>
          <w:highlight w:val="none"/>
        </w:rPr>
      </w:pPr>
      <w:r>
        <w:rPr>
          <w:rFonts w:hint="eastAsia"/>
          <w:color w:val="auto"/>
          <w:highlight w:val="none"/>
        </w:rPr>
        <w:t>单价金额小数点或者百分比有明显错位的，以开标一览表的总价为准，并修改单价；</w:t>
      </w:r>
    </w:p>
    <w:p>
      <w:pPr>
        <w:pStyle w:val="40"/>
        <w:bidi w:val="0"/>
        <w:rPr>
          <w:rFonts w:hint="eastAsia"/>
          <w:color w:val="auto"/>
          <w:highlight w:val="none"/>
        </w:rPr>
      </w:pPr>
      <w:r>
        <w:rPr>
          <w:rFonts w:hint="eastAsia"/>
          <w:color w:val="auto"/>
          <w:highlight w:val="none"/>
        </w:rPr>
        <w:t>总价金额与按单价汇总金额不一致的，以单价金额计算结果为准。</w:t>
      </w:r>
    </w:p>
    <w:p>
      <w:pPr>
        <w:pStyle w:val="50"/>
        <w:bidi w:val="0"/>
        <w:rPr>
          <w:rFonts w:hint="eastAsia"/>
          <w:color w:val="auto"/>
          <w:highlight w:val="none"/>
          <w:lang w:val="en-US" w:eastAsia="zh-CN"/>
        </w:rPr>
      </w:pPr>
      <w:r>
        <w:rPr>
          <w:rFonts w:hint="eastAsia"/>
          <w:color w:val="auto"/>
          <w:highlight w:val="none"/>
        </w:rPr>
        <w:t>同时出现两种以上不一致的，按照前款规定的顺序修正。修正后的报价按照《政府采购货物和服务招标投标管理办法》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w:t>
      </w:r>
      <w:r>
        <w:rPr>
          <w:rFonts w:hint="eastAsia"/>
          <w:color w:val="auto"/>
          <w:highlight w:val="none"/>
        </w:rPr>
        <w:t>第五十一条第二款的规定经投标人确认后产生约束力，投标人不确认的，其投标无效。</w:t>
      </w:r>
    </w:p>
    <w:p>
      <w:pPr>
        <w:pStyle w:val="38"/>
        <w:bidi w:val="0"/>
        <w:rPr>
          <w:rFonts w:hint="eastAsia"/>
          <w:color w:val="auto"/>
          <w:highlight w:val="none"/>
          <w:lang w:val="en-US" w:eastAsia="zh-CN"/>
        </w:rPr>
      </w:pPr>
      <w:r>
        <w:rPr>
          <w:rFonts w:hint="eastAsia"/>
          <w:color w:val="auto"/>
          <w:highlight w:val="none"/>
          <w:lang w:val="en-US" w:eastAsia="zh-CN"/>
        </w:rPr>
        <w:t>低于成本价投标处理</w:t>
      </w:r>
    </w:p>
    <w:p>
      <w:pPr>
        <w:pStyle w:val="40"/>
        <w:bidi w:val="0"/>
        <w:rPr>
          <w:rFonts w:hint="eastAsia"/>
          <w:color w:val="auto"/>
          <w:highlight w:val="none"/>
          <w:lang w:val="en-US" w:eastAsia="zh-CN"/>
        </w:rPr>
      </w:pPr>
      <w:r>
        <w:rPr>
          <w:rFonts w:hint="eastAsia"/>
          <w:color w:val="auto"/>
          <w:highlight w:val="none"/>
          <w:lang w:val="en-US"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pPr>
        <w:pStyle w:val="40"/>
        <w:bidi w:val="0"/>
        <w:rPr>
          <w:rFonts w:hint="eastAsia"/>
          <w:color w:val="auto"/>
          <w:highlight w:val="none"/>
          <w:lang w:val="en-US" w:eastAsia="zh-CN"/>
        </w:rPr>
      </w:pPr>
      <w:r>
        <w:rPr>
          <w:rFonts w:hint="eastAsia"/>
          <w:color w:val="auto"/>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0"/>
        <w:bidi w:val="0"/>
        <w:rPr>
          <w:rFonts w:hint="eastAsia"/>
          <w:color w:val="auto"/>
          <w:highlight w:val="none"/>
        </w:rPr>
      </w:pPr>
      <w:r>
        <w:rPr>
          <w:rFonts w:hint="eastAsia"/>
          <w:color w:val="auto"/>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投标文件作为无效处理。</w:t>
      </w:r>
    </w:p>
    <w:p>
      <w:pPr>
        <w:pStyle w:val="26"/>
        <w:numPr>
          <w:ilvl w:val="1"/>
          <w:numId w:val="11"/>
        </w:numPr>
        <w:bidi w:val="0"/>
        <w:rPr>
          <w:rFonts w:hint="eastAsia"/>
          <w:color w:val="auto"/>
          <w:highlight w:val="none"/>
        </w:rPr>
      </w:pPr>
      <w:bookmarkStart w:id="1110" w:name="_Toc309897564"/>
      <w:bookmarkStart w:id="1111" w:name="_Toc308188199"/>
      <w:bookmarkStart w:id="1112" w:name="_Toc307501155"/>
      <w:bookmarkStart w:id="1113" w:name="_Toc23140"/>
      <w:bookmarkStart w:id="1114" w:name="_Toc26213"/>
      <w:bookmarkStart w:id="1115" w:name="_Toc23187"/>
      <w:bookmarkStart w:id="1116" w:name="_Toc319439947"/>
      <w:bookmarkStart w:id="1117" w:name="_Toc17061"/>
      <w:bookmarkStart w:id="1118" w:name="_Toc21397"/>
      <w:bookmarkStart w:id="1119" w:name="_Toc25587"/>
      <w:bookmarkStart w:id="1120" w:name="_Toc319440191"/>
      <w:bookmarkStart w:id="1121" w:name="_Toc2106"/>
      <w:bookmarkStart w:id="1122" w:name="_Toc24902"/>
      <w:bookmarkStart w:id="1123" w:name="_Toc217446103"/>
      <w:bookmarkStart w:id="1124" w:name="_Toc22389"/>
      <w:bookmarkStart w:id="1125" w:name="_Toc308084646"/>
      <w:bookmarkStart w:id="1126" w:name="_Toc27402"/>
      <w:bookmarkStart w:id="1127" w:name="_Toc327196342"/>
      <w:bookmarkStart w:id="1128" w:name="_Toc1756"/>
      <w:bookmarkStart w:id="1129" w:name="_Toc307564897"/>
      <w:bookmarkStart w:id="1130" w:name="_Toc30417"/>
      <w:r>
        <w:rPr>
          <w:rFonts w:hint="eastAsia"/>
          <w:color w:val="auto"/>
          <w:highlight w:val="none"/>
        </w:rPr>
        <w:t>评标细则及标准</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pPr>
        <w:pStyle w:val="38"/>
        <w:numPr>
          <w:ilvl w:val="1"/>
          <w:numId w:val="32"/>
        </w:numPr>
        <w:bidi w:val="0"/>
        <w:rPr>
          <w:rFonts w:hint="eastAsia"/>
          <w:color w:val="auto"/>
          <w:highlight w:val="none"/>
        </w:rPr>
      </w:pPr>
      <w:r>
        <w:rPr>
          <w:rFonts w:hint="eastAsia"/>
          <w:color w:val="auto"/>
          <w:highlight w:val="none"/>
        </w:rPr>
        <w:t>评委会只对通过</w:t>
      </w:r>
      <w:r>
        <w:rPr>
          <w:rFonts w:hint="eastAsia"/>
          <w:color w:val="auto"/>
          <w:highlight w:val="none"/>
          <w:lang w:val="en-US" w:eastAsia="zh-CN"/>
        </w:rPr>
        <w:t>符合性检查</w:t>
      </w:r>
      <w:r>
        <w:rPr>
          <w:rFonts w:hint="eastAsia"/>
          <w:color w:val="auto"/>
          <w:highlight w:val="none"/>
        </w:rPr>
        <w:t>的投标文件，根据招标文件的要求采用相同的评标程序、评分办法及标准进行评价和比较。</w:t>
      </w:r>
    </w:p>
    <w:p>
      <w:pPr>
        <w:pStyle w:val="38"/>
        <w:numPr>
          <w:ilvl w:val="1"/>
          <w:numId w:val="32"/>
        </w:numPr>
        <w:bidi w:val="0"/>
        <w:rPr>
          <w:rFonts w:hint="eastAsia"/>
          <w:color w:val="auto"/>
          <w:highlight w:val="none"/>
        </w:rPr>
      </w:pPr>
      <w:r>
        <w:rPr>
          <w:rFonts w:hint="eastAsia"/>
          <w:color w:val="auto"/>
          <w:highlight w:val="none"/>
        </w:rPr>
        <w:t>本次综合评分的因素是：</w:t>
      </w:r>
      <w:r>
        <w:rPr>
          <w:rFonts w:hint="eastAsia"/>
          <w:color w:val="auto"/>
          <w:highlight w:val="none"/>
          <w:lang w:val="en-US" w:eastAsia="zh-CN"/>
        </w:rPr>
        <w:t>详见“</w:t>
      </w:r>
      <w:r>
        <w:rPr>
          <w:rFonts w:hint="eastAsia"/>
          <w:color w:val="auto"/>
          <w:highlight w:val="none"/>
        </w:rPr>
        <w:t>综合评分明细表</w:t>
      </w:r>
      <w:r>
        <w:rPr>
          <w:rFonts w:hint="eastAsia"/>
          <w:color w:val="auto"/>
          <w:highlight w:val="none"/>
          <w:lang w:val="en-US" w:eastAsia="zh-CN"/>
        </w:rPr>
        <w:t>中的评分因素及权重”。</w:t>
      </w:r>
    </w:p>
    <w:p>
      <w:pPr>
        <w:pStyle w:val="38"/>
        <w:numPr>
          <w:ilvl w:val="1"/>
          <w:numId w:val="32"/>
        </w:numPr>
        <w:bidi w:val="0"/>
        <w:rPr>
          <w:rFonts w:hint="eastAsia"/>
          <w:color w:val="auto"/>
          <w:highlight w:val="none"/>
        </w:rPr>
      </w:pPr>
      <w:r>
        <w:rPr>
          <w:rFonts w:hint="eastAsia"/>
          <w:color w:val="auto"/>
          <w:highlight w:val="none"/>
        </w:rPr>
        <w:t>除价格因素外，评标委员会成员应当根据自身专业情况独立对每个有效投标人的投标文件进行评价、打分。采购人代表原则上对技术、与技术有关的服务及其他技术类评分因素独立评分。价格及其他不能明确区分的评分因素由评标委员会成员共同评分。</w:t>
      </w:r>
    </w:p>
    <w:p>
      <w:pPr>
        <w:pStyle w:val="38"/>
        <w:numPr>
          <w:ilvl w:val="1"/>
          <w:numId w:val="32"/>
        </w:numPr>
        <w:bidi w:val="0"/>
        <w:rPr>
          <w:rFonts w:hint="eastAsia"/>
          <w:color w:val="auto"/>
          <w:highlight w:val="none"/>
        </w:rPr>
      </w:pPr>
      <w:r>
        <w:rPr>
          <w:rFonts w:hint="eastAsia"/>
          <w:color w:val="auto"/>
          <w:highlight w:val="none"/>
          <w:lang w:val="en-US" w:eastAsia="zh-CN"/>
        </w:rPr>
        <w:t>评审得分计算方法</w:t>
      </w:r>
    </w:p>
    <w:p>
      <w:pPr>
        <w:keepNext w:val="0"/>
        <w:keepLines w:val="0"/>
        <w:pageBreakBefore w:val="0"/>
        <w:widowControl w:val="0"/>
        <w:kinsoku/>
        <w:overflowPunct/>
        <w:autoSpaceDE/>
        <w:autoSpaceDN/>
        <w:bidi w:val="0"/>
        <w:adjustRightInd w:val="0"/>
        <w:snapToGrid w:val="0"/>
        <w:spacing w:line="44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A1＋A2＋……＋An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B1＋B2＋……＋Bn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NB＋</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C1＋C2＋……＋Cn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NC＋</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D1＋D2＋……＋Dn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/ND</w:t>
      </w:r>
    </w:p>
    <w:p>
      <w:pPr>
        <w:keepNext w:val="0"/>
        <w:keepLines w:val="0"/>
        <w:pageBreakBefore w:val="0"/>
        <w:widowControl w:val="0"/>
        <w:kinsoku/>
        <w:overflowPunct/>
        <w:autoSpaceDE/>
        <w:autoSpaceDN/>
        <w:bidi w:val="0"/>
        <w:adjustRightInd w:val="0"/>
        <w:snapToGrid w:val="0"/>
        <w:spacing w:line="440" w:lineRule="exact"/>
        <w:ind w:leftChars="0"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A1、A2……An分别为每个经济类评委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经济类专家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的打分，NA为经济类评委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经济类专家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人数；B1、B2＋……Bn 分别为每个技术类评委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技术类专家和采购人代表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的打分，NB为技术类评委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技术类专家和采购人代表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人数；C1、C2……Cn 分别为每个政策合同类评委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的打分，NC为政策合同类评委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人数；D1、D2……Dn 分别为评审委员会每个成员的打分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共同评分类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，ND为评审委员会人数</w:t>
      </w:r>
      <w:r>
        <w:rPr>
          <w:rFonts w:hint="eastAsia" w:asciiTheme="minorEastAsia" w:hAnsiTheme="minorEastAsia" w:eastAsiaTheme="minorEastAsia" w:cstheme="minorEastAsia"/>
          <w:color w:val="auto"/>
          <w:sz w:val="24"/>
          <w:szCs w:val="24"/>
          <w:highlight w:val="none"/>
          <w:lang w:eastAsia="zh-CN"/>
        </w:rPr>
        <w:t>。</w:t>
      </w:r>
    </w:p>
    <w:p>
      <w:pPr>
        <w:pStyle w:val="38"/>
        <w:bidi w:val="0"/>
        <w:rPr>
          <w:rFonts w:hint="eastAsia"/>
          <w:color w:val="auto"/>
          <w:highlight w:val="none"/>
        </w:rPr>
      </w:pPr>
      <w:r>
        <w:rPr>
          <w:rFonts w:hint="eastAsia"/>
          <w:color w:val="auto"/>
          <w:highlight w:val="none"/>
        </w:rPr>
        <w:t>综合评分明细表</w:t>
      </w:r>
    </w:p>
    <w:p>
      <w:pPr>
        <w:pStyle w:val="40"/>
        <w:bidi w:val="0"/>
        <w:rPr>
          <w:rFonts w:hint="eastAsia"/>
          <w:color w:val="auto"/>
          <w:highlight w:val="none"/>
        </w:rPr>
      </w:pPr>
      <w:r>
        <w:rPr>
          <w:rFonts w:hint="eastAsia"/>
          <w:color w:val="auto"/>
          <w:highlight w:val="none"/>
        </w:rPr>
        <w:t>综合评分明细表的制定以科学合理、降低评委会自由裁量权为原则。</w:t>
      </w:r>
    </w:p>
    <w:p>
      <w:pPr>
        <w:pStyle w:val="40"/>
        <w:bidi w:val="0"/>
        <w:rPr>
          <w:rFonts w:hint="eastAsia"/>
          <w:color w:val="auto"/>
          <w:highlight w:val="none"/>
        </w:rPr>
      </w:pPr>
      <w:r>
        <w:rPr>
          <w:rFonts w:hint="eastAsia"/>
          <w:color w:val="auto"/>
          <w:highlight w:val="none"/>
        </w:rPr>
        <w:t>综合评分明细表</w:t>
      </w:r>
    </w:p>
    <w:tbl>
      <w:tblPr>
        <w:tblStyle w:val="18"/>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55"/>
        <w:gridCol w:w="900"/>
        <w:gridCol w:w="630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bookmarkStart w:id="1131" w:name="_Toc13245"/>
            <w:bookmarkStart w:id="1132" w:name="_Toc21671"/>
            <w:bookmarkStart w:id="1133" w:name="_Toc13513"/>
            <w:bookmarkStart w:id="1134" w:name="_Toc4648"/>
            <w:bookmarkStart w:id="1135" w:name="_Toc21363"/>
            <w:r>
              <w:rPr>
                <w:rFonts w:hint="eastAsia" w:ascii="宋体" w:hAnsi="宋体" w:eastAsia="宋体" w:cs="宋体"/>
                <w:b/>
                <w:bCs/>
                <w:color w:val="auto"/>
                <w:sz w:val="21"/>
                <w:szCs w:val="21"/>
                <w:highlight w:val="none"/>
              </w:rPr>
              <w:t>序号</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及权重</w:t>
            </w:r>
          </w:p>
        </w:tc>
        <w:tc>
          <w:tcPr>
            <w:tcW w:w="9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3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9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3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注：1.小微企业(残疾人福利性单位、监狱企业视同小微企业)价格扣除按照本招标文件投标人须知</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附表规定执行。</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2.评标过程中，不得去掉报价中的最高报价和最低报价。</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3.因落实政府采购政策进行价格调整的，以调整后的价格计算评标基准价和投标报价。</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共同</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技术指标及配置</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w:t>
            </w:r>
          </w:p>
        </w:tc>
        <w:tc>
          <w:tcPr>
            <w:tcW w:w="9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w:t>
            </w:r>
          </w:p>
        </w:tc>
        <w:tc>
          <w:tcPr>
            <w:tcW w:w="63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w:t>
            </w:r>
            <w:r>
              <w:rPr>
                <w:rFonts w:hint="eastAsia" w:ascii="宋体" w:hAnsi="宋体" w:eastAsia="宋体" w:cs="宋体"/>
                <w:color w:val="auto"/>
                <w:sz w:val="21"/>
                <w:szCs w:val="21"/>
                <w:highlight w:val="none"/>
              </w:rPr>
              <w:t>完全响应招标文件第六章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技术参数要求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非实质性要求的得48分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每有一项重要指标(带“</w:t>
            </w:r>
            <w:r>
              <w:rPr>
                <w:rFonts w:hint="eastAsia" w:ascii="宋体" w:hAnsi="宋体" w:eastAsia="宋体" w:cs="宋体"/>
                <w:snapToGrid/>
                <w:color w:val="auto"/>
                <w:sz w:val="21"/>
                <w:szCs w:val="21"/>
                <w:highlight w:val="none"/>
              </w:rPr>
              <w:t>▲</w:t>
            </w:r>
            <w:r>
              <w:rPr>
                <w:rFonts w:hint="eastAsia" w:ascii="宋体" w:hAnsi="宋体" w:eastAsia="宋体" w:cs="宋体"/>
                <w:color w:val="auto"/>
                <w:sz w:val="21"/>
                <w:szCs w:val="21"/>
                <w:highlight w:val="none"/>
              </w:rPr>
              <w:t>”号的参数</w:t>
            </w:r>
            <w:r>
              <w:rPr>
                <w:rFonts w:hint="eastAsia" w:ascii="宋体" w:hAnsi="宋体" w:eastAsia="宋体" w:cs="宋体"/>
                <w:color w:val="auto"/>
                <w:sz w:val="21"/>
                <w:szCs w:val="21"/>
                <w:highlight w:val="none"/>
                <w:lang w:val="en-US" w:eastAsia="zh-CN"/>
              </w:rPr>
              <w:t>共22项</w:t>
            </w:r>
            <w:r>
              <w:rPr>
                <w:rFonts w:hint="eastAsia" w:ascii="宋体" w:hAnsi="宋体" w:eastAsia="宋体" w:cs="宋体"/>
                <w:color w:val="auto"/>
                <w:sz w:val="21"/>
                <w:szCs w:val="21"/>
                <w:highlight w:val="none"/>
              </w:rPr>
              <w:t>)有负偏离的，扣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最多扣33分；</w:t>
            </w:r>
            <w:r>
              <w:rPr>
                <w:rFonts w:hint="eastAsia" w:ascii="宋体" w:hAnsi="宋体" w:eastAsia="宋体" w:cs="宋体"/>
                <w:color w:val="auto"/>
                <w:sz w:val="21"/>
                <w:szCs w:val="21"/>
                <w:highlight w:val="none"/>
              </w:rPr>
              <w:t>每有一项一般指标(带“</w:t>
            </w:r>
            <w:r>
              <w:rPr>
                <w:rFonts w:hint="eastAsia" w:ascii="宋体" w:hAnsi="宋体" w:eastAsia="宋体" w:cs="宋体"/>
                <w:snapToGrid/>
                <w:color w:val="auto"/>
                <w:sz w:val="21"/>
                <w:szCs w:val="21"/>
                <w:highlight w:val="none"/>
              </w:rPr>
              <w:t>●</w:t>
            </w:r>
            <w:r>
              <w:rPr>
                <w:rFonts w:hint="eastAsia" w:ascii="宋体" w:hAnsi="宋体" w:eastAsia="宋体" w:cs="宋体"/>
                <w:color w:val="auto"/>
                <w:sz w:val="21"/>
                <w:szCs w:val="21"/>
                <w:highlight w:val="none"/>
              </w:rPr>
              <w:t>”号的参数</w:t>
            </w:r>
            <w:r>
              <w:rPr>
                <w:rFonts w:hint="eastAsia" w:ascii="宋体" w:hAnsi="宋体" w:eastAsia="宋体" w:cs="宋体"/>
                <w:color w:val="auto"/>
                <w:sz w:val="21"/>
                <w:szCs w:val="21"/>
                <w:highlight w:val="none"/>
                <w:lang w:val="en-US" w:eastAsia="zh-CN"/>
              </w:rPr>
              <w:t>共150项</w:t>
            </w:r>
            <w:r>
              <w:rPr>
                <w:rFonts w:hint="eastAsia" w:ascii="宋体" w:hAnsi="宋体" w:eastAsia="宋体" w:cs="宋体"/>
                <w:color w:val="auto"/>
                <w:sz w:val="21"/>
                <w:szCs w:val="21"/>
                <w:highlight w:val="none"/>
              </w:rPr>
              <w:t>)有负偏离的，扣</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最多扣15分</w:t>
            </w:r>
            <w:r>
              <w:rPr>
                <w:rFonts w:hint="eastAsia" w:ascii="宋体" w:hAnsi="宋体" w:eastAsia="宋体" w:cs="宋体"/>
                <w:color w:val="auto"/>
                <w:sz w:val="21"/>
                <w:szCs w:val="21"/>
                <w:highlight w:val="none"/>
              </w:rPr>
              <w:t>。</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技术类</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信誉</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rPr>
              <w:t>%</w:t>
            </w:r>
          </w:p>
        </w:tc>
        <w:tc>
          <w:tcPr>
            <w:tcW w:w="9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00" w:type="dxa"/>
            <w:vAlign w:val="center"/>
          </w:tcPr>
          <w:p>
            <w:pPr>
              <w:pStyle w:val="25"/>
              <w:keepNext w:val="0"/>
              <w:keepLines w:val="0"/>
              <w:pageBreakBefore w:val="0"/>
              <w:kinsoku/>
              <w:wordWrap w:val="0"/>
              <w:overflowPunct/>
              <w:autoSpaceDE/>
              <w:autoSpaceDN/>
              <w:bidi w:val="0"/>
              <w:spacing w:line="320" w:lineRule="exact"/>
              <w:ind w:left="28" w:right="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1.投标人或</w:t>
            </w:r>
            <w:r>
              <w:rPr>
                <w:rFonts w:hint="eastAsia" w:ascii="宋体" w:hAnsi="宋体" w:eastAsia="宋体" w:cs="宋体"/>
                <w:b w:val="0"/>
                <w:bCs w:val="0"/>
                <w:color w:val="auto"/>
                <w:sz w:val="21"/>
                <w:szCs w:val="21"/>
                <w:highlight w:val="none"/>
                <w:lang w:val="en-US" w:eastAsia="zh-CN"/>
              </w:rPr>
              <w:t>二个核心产品的</w:t>
            </w:r>
            <w:r>
              <w:rPr>
                <w:rFonts w:hint="eastAsia" w:ascii="宋体" w:hAnsi="宋体" w:eastAsia="宋体" w:cs="宋体"/>
                <w:b w:val="0"/>
                <w:bCs w:val="0"/>
                <w:color w:val="auto"/>
                <w:sz w:val="21"/>
                <w:szCs w:val="21"/>
                <w:highlight w:val="none"/>
              </w:rPr>
              <w:t>制造厂商</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rPr>
              <w:t>信息安全管理体系认证</w:t>
            </w:r>
            <w:r>
              <w:rPr>
                <w:rFonts w:hint="eastAsia" w:ascii="宋体" w:hAnsi="宋体" w:eastAsia="宋体" w:cs="宋体"/>
                <w:b w:val="0"/>
                <w:bCs w:val="0"/>
                <w:color w:val="auto"/>
                <w:sz w:val="21"/>
                <w:szCs w:val="21"/>
                <w:highlight w:val="none"/>
                <w:lang w:val="en-US" w:eastAsia="zh-CN"/>
              </w:rPr>
              <w:t>证书</w:t>
            </w:r>
            <w:r>
              <w:rPr>
                <w:rFonts w:hint="eastAsia" w:ascii="宋体" w:hAnsi="宋体" w:eastAsia="宋体" w:cs="宋体"/>
                <w:b w:val="0"/>
                <w:bCs w:val="0"/>
                <w:color w:val="auto"/>
                <w:sz w:val="21"/>
                <w:szCs w:val="21"/>
                <w:highlight w:val="none"/>
              </w:rPr>
              <w:t>的得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pPr>
              <w:pStyle w:val="25"/>
              <w:keepNext w:val="0"/>
              <w:keepLines w:val="0"/>
              <w:pageBreakBefore w:val="0"/>
              <w:kinsoku/>
              <w:wordWrap w:val="0"/>
              <w:overflowPunct/>
              <w:autoSpaceDE/>
              <w:autoSpaceDN/>
              <w:bidi w:val="0"/>
              <w:spacing w:line="320" w:lineRule="exact"/>
              <w:ind w:left="28" w:right="2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注：①</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有效期内</w:t>
            </w:r>
            <w:r>
              <w:rPr>
                <w:rFonts w:hint="eastAsia"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证书复印件</w:t>
            </w:r>
            <w:r>
              <w:rPr>
                <w:rFonts w:hint="eastAsia" w:ascii="宋体" w:hAnsi="宋体" w:eastAsia="宋体" w:cs="宋体"/>
                <w:b/>
                <w:bCs/>
                <w:color w:val="auto"/>
                <w:sz w:val="21"/>
                <w:szCs w:val="21"/>
                <w:highlight w:val="none"/>
                <w:lang w:val="en-US" w:eastAsia="zh-CN"/>
              </w:rPr>
              <w:t>；②</w:t>
            </w:r>
            <w:r>
              <w:rPr>
                <w:rFonts w:hint="eastAsia" w:cs="宋体"/>
                <w:b/>
                <w:bCs/>
                <w:color w:val="auto"/>
                <w:sz w:val="21"/>
                <w:szCs w:val="21"/>
                <w:highlight w:val="none"/>
                <w:lang w:val="en-US" w:eastAsia="zh-CN"/>
              </w:rPr>
              <w:t>提供制造厂商认证证书的需同时提供</w:t>
            </w:r>
            <w:r>
              <w:rPr>
                <w:rFonts w:hint="eastAsia" w:ascii="宋体" w:hAnsi="宋体" w:eastAsia="宋体" w:cs="宋体"/>
                <w:b/>
                <w:bCs/>
                <w:color w:val="auto"/>
                <w:sz w:val="21"/>
                <w:szCs w:val="21"/>
                <w:highlight w:val="none"/>
                <w:lang w:val="en-US" w:eastAsia="zh-CN"/>
              </w:rPr>
              <w:t>二个核心产品</w:t>
            </w:r>
            <w:r>
              <w:rPr>
                <w:rFonts w:hint="eastAsia" w:ascii="宋体" w:hAnsi="宋体" w:eastAsia="宋体" w:cs="宋体"/>
                <w:b/>
                <w:bCs/>
                <w:color w:val="auto"/>
                <w:sz w:val="21"/>
                <w:szCs w:val="21"/>
                <w:highlight w:val="none"/>
              </w:rPr>
              <w:t>的制造</w:t>
            </w:r>
            <w:r>
              <w:rPr>
                <w:rFonts w:hint="eastAsia" w:cs="宋体"/>
                <w:b/>
                <w:bCs/>
                <w:color w:val="auto"/>
                <w:sz w:val="21"/>
                <w:szCs w:val="21"/>
                <w:highlight w:val="none"/>
                <w:lang w:val="en-US" w:eastAsia="zh-CN"/>
              </w:rPr>
              <w:t>厂商认证证书，否则不得分</w:t>
            </w:r>
            <w:r>
              <w:rPr>
                <w:rFonts w:hint="eastAsia" w:ascii="宋体" w:hAnsi="宋体" w:eastAsia="宋体" w:cs="宋体"/>
                <w:b/>
                <w:bCs/>
                <w:color w:val="auto"/>
                <w:sz w:val="21"/>
                <w:szCs w:val="21"/>
                <w:highlight w:val="none"/>
                <w:lang w:val="en-US" w:eastAsia="zh-CN"/>
              </w:rPr>
              <w:t>。</w:t>
            </w:r>
          </w:p>
          <w:p>
            <w:pPr>
              <w:pStyle w:val="25"/>
              <w:keepNext w:val="0"/>
              <w:keepLines w:val="0"/>
              <w:pageBreakBefore w:val="0"/>
              <w:kinsoku/>
              <w:wordWrap w:val="0"/>
              <w:overflowPunct/>
              <w:autoSpaceDE/>
              <w:autoSpaceDN/>
              <w:bidi w:val="0"/>
              <w:spacing w:line="320" w:lineRule="exact"/>
              <w:ind w:left="28" w:right="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2.投标人或</w:t>
            </w:r>
            <w:r>
              <w:rPr>
                <w:rFonts w:hint="eastAsia" w:ascii="宋体" w:hAnsi="宋体" w:eastAsia="宋体" w:cs="宋体"/>
                <w:b w:val="0"/>
                <w:bCs w:val="0"/>
                <w:color w:val="auto"/>
                <w:sz w:val="21"/>
                <w:szCs w:val="21"/>
                <w:highlight w:val="none"/>
                <w:lang w:val="en-US" w:eastAsia="zh-CN"/>
              </w:rPr>
              <w:t>二个核心产品的</w:t>
            </w:r>
            <w:r>
              <w:rPr>
                <w:rFonts w:hint="eastAsia" w:ascii="宋体" w:hAnsi="宋体" w:eastAsia="宋体" w:cs="宋体"/>
                <w:b w:val="0"/>
                <w:bCs w:val="0"/>
                <w:color w:val="auto"/>
                <w:sz w:val="21"/>
                <w:szCs w:val="21"/>
                <w:highlight w:val="none"/>
              </w:rPr>
              <w:t>制造厂商具有CMMI证书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三级及以下的得0.5分，四级的得1分，五级的得1.5分</w:t>
            </w:r>
            <w:r>
              <w:rPr>
                <w:rFonts w:hint="eastAsia" w:ascii="宋体" w:hAnsi="宋体" w:eastAsia="宋体" w:cs="宋体"/>
                <w:b w:val="0"/>
                <w:bCs w:val="0"/>
                <w:color w:val="auto"/>
                <w:sz w:val="21"/>
                <w:szCs w:val="21"/>
                <w:highlight w:val="none"/>
              </w:rPr>
              <w:t>。</w:t>
            </w:r>
          </w:p>
          <w:p>
            <w:pPr>
              <w:pStyle w:val="25"/>
              <w:keepNext w:val="0"/>
              <w:keepLines w:val="0"/>
              <w:pageBreakBefore w:val="0"/>
              <w:kinsoku/>
              <w:wordWrap w:val="0"/>
              <w:overflowPunct/>
              <w:autoSpaceDE/>
              <w:autoSpaceDN/>
              <w:bidi w:val="0"/>
              <w:spacing w:line="320" w:lineRule="exact"/>
              <w:ind w:left="28" w:right="28"/>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注：①</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有效期内</w:t>
            </w:r>
            <w:r>
              <w:rPr>
                <w:rFonts w:hint="eastAsia" w:ascii="宋体" w:hAnsi="宋体" w:eastAsia="宋体" w:cs="宋体"/>
                <w:b/>
                <w:bCs/>
                <w:color w:val="auto"/>
                <w:sz w:val="21"/>
                <w:szCs w:val="21"/>
                <w:highlight w:val="none"/>
              </w:rPr>
              <w:t>证书复印件</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②</w:t>
            </w:r>
            <w:r>
              <w:rPr>
                <w:rFonts w:hint="eastAsia" w:cs="宋体"/>
                <w:b/>
                <w:bCs/>
                <w:color w:val="auto"/>
                <w:sz w:val="21"/>
                <w:szCs w:val="21"/>
                <w:highlight w:val="none"/>
                <w:lang w:val="en-US" w:eastAsia="zh-CN"/>
              </w:rPr>
              <w:t>提供制造厂商认证证书的需同时提供</w:t>
            </w:r>
            <w:r>
              <w:rPr>
                <w:rFonts w:hint="eastAsia" w:ascii="宋体" w:hAnsi="宋体" w:eastAsia="宋体" w:cs="宋体"/>
                <w:b/>
                <w:bCs/>
                <w:color w:val="auto"/>
                <w:sz w:val="21"/>
                <w:szCs w:val="21"/>
                <w:highlight w:val="none"/>
                <w:lang w:val="en-US" w:eastAsia="zh-CN"/>
              </w:rPr>
              <w:t>二个核心产品</w:t>
            </w:r>
            <w:r>
              <w:rPr>
                <w:rFonts w:hint="eastAsia" w:ascii="宋体" w:hAnsi="宋体" w:eastAsia="宋体" w:cs="宋体"/>
                <w:b/>
                <w:bCs/>
                <w:color w:val="auto"/>
                <w:sz w:val="21"/>
                <w:szCs w:val="21"/>
                <w:highlight w:val="none"/>
              </w:rPr>
              <w:t>的制造</w:t>
            </w:r>
            <w:r>
              <w:rPr>
                <w:rFonts w:hint="eastAsia" w:cs="宋体"/>
                <w:b/>
                <w:bCs/>
                <w:color w:val="auto"/>
                <w:sz w:val="21"/>
                <w:szCs w:val="21"/>
                <w:highlight w:val="none"/>
                <w:lang w:val="en-US" w:eastAsia="zh-CN"/>
              </w:rPr>
              <w:t>厂商认证证书，否则不得分；③</w:t>
            </w:r>
            <w:r>
              <w:rPr>
                <w:rFonts w:hint="eastAsia" w:ascii="宋体" w:hAnsi="宋体" w:eastAsia="宋体" w:cs="宋体"/>
                <w:b/>
                <w:bCs/>
                <w:color w:val="auto"/>
                <w:sz w:val="21"/>
                <w:szCs w:val="21"/>
                <w:highlight w:val="none"/>
                <w:lang w:val="en-US" w:eastAsia="zh-CN"/>
              </w:rPr>
              <w:t>若制造商的证书等级不一致，按照等级最低的计分。</w:t>
            </w:r>
          </w:p>
          <w:p>
            <w:pPr>
              <w:pStyle w:val="25"/>
              <w:keepNext w:val="0"/>
              <w:keepLines w:val="0"/>
              <w:pageBreakBefore w:val="0"/>
              <w:widowControl/>
              <w:kinsoku/>
              <w:wordWrap w:val="0"/>
              <w:overflowPunct/>
              <w:autoSpaceDE/>
              <w:autoSpaceDN/>
              <w:bidi w:val="0"/>
              <w:adjustRightInd/>
              <w:snapToGrid/>
              <w:spacing w:line="320" w:lineRule="exact"/>
              <w:ind w:left="28" w:leftChars="0" w:right="28" w:rightChars="0" w:firstLine="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3.投标人或</w:t>
            </w:r>
            <w:r>
              <w:rPr>
                <w:rFonts w:hint="eastAsia" w:ascii="宋体" w:hAnsi="宋体" w:eastAsia="宋体" w:cs="宋体"/>
                <w:b w:val="0"/>
                <w:bCs w:val="0"/>
                <w:color w:val="auto"/>
                <w:sz w:val="21"/>
                <w:szCs w:val="21"/>
                <w:highlight w:val="none"/>
                <w:lang w:val="en-US" w:eastAsia="zh-CN"/>
              </w:rPr>
              <w:t>二个核心产品的</w:t>
            </w:r>
            <w:r>
              <w:rPr>
                <w:rFonts w:hint="eastAsia" w:ascii="宋体" w:hAnsi="宋体" w:eastAsia="宋体" w:cs="宋体"/>
                <w:b w:val="0"/>
                <w:bCs w:val="0"/>
                <w:color w:val="auto"/>
                <w:sz w:val="21"/>
                <w:szCs w:val="21"/>
                <w:highlight w:val="none"/>
              </w:rPr>
              <w:t>制造厂商具有信息技术服务管理体系认证证书的得2分</w:t>
            </w:r>
            <w:r>
              <w:rPr>
                <w:rFonts w:hint="eastAsia" w:ascii="宋体" w:hAnsi="宋体" w:eastAsia="宋体" w:cs="宋体"/>
                <w:b w:val="0"/>
                <w:bCs w:val="0"/>
                <w:color w:val="auto"/>
                <w:sz w:val="21"/>
                <w:szCs w:val="21"/>
                <w:highlight w:val="none"/>
                <w:lang w:val="en-US" w:eastAsia="zh-CN"/>
              </w:rPr>
              <w:t>。</w:t>
            </w:r>
          </w:p>
          <w:p>
            <w:pPr>
              <w:pStyle w:val="25"/>
              <w:keepNext w:val="0"/>
              <w:keepLines w:val="0"/>
              <w:pageBreakBefore w:val="0"/>
              <w:widowControl/>
              <w:kinsoku/>
              <w:wordWrap w:val="0"/>
              <w:overflowPunct/>
              <w:autoSpaceDE/>
              <w:autoSpaceDN/>
              <w:bidi w:val="0"/>
              <w:adjustRightInd/>
              <w:snapToGrid/>
              <w:spacing w:line="320" w:lineRule="exact"/>
              <w:ind w:left="28" w:leftChars="0" w:right="28" w:rightChars="0" w:firstLine="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有效期内</w:t>
            </w:r>
            <w:r>
              <w:rPr>
                <w:rFonts w:hint="eastAsia" w:ascii="宋体" w:hAnsi="宋体" w:eastAsia="宋体" w:cs="宋体"/>
                <w:b/>
                <w:bCs/>
                <w:color w:val="auto"/>
                <w:sz w:val="21"/>
                <w:szCs w:val="21"/>
                <w:highlight w:val="none"/>
              </w:rPr>
              <w:t>证书复印件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②</w:t>
            </w:r>
            <w:r>
              <w:rPr>
                <w:rFonts w:hint="eastAsia" w:cs="宋体"/>
                <w:b/>
                <w:bCs/>
                <w:color w:val="auto"/>
                <w:sz w:val="21"/>
                <w:szCs w:val="21"/>
                <w:highlight w:val="none"/>
                <w:lang w:val="en-US" w:eastAsia="zh-CN"/>
              </w:rPr>
              <w:t>提供制造厂商认证证书的需同时提供</w:t>
            </w:r>
            <w:r>
              <w:rPr>
                <w:rFonts w:hint="eastAsia" w:ascii="宋体" w:hAnsi="宋体" w:eastAsia="宋体" w:cs="宋体"/>
                <w:b/>
                <w:bCs/>
                <w:color w:val="auto"/>
                <w:sz w:val="21"/>
                <w:szCs w:val="21"/>
                <w:highlight w:val="none"/>
                <w:lang w:val="en-US" w:eastAsia="zh-CN"/>
              </w:rPr>
              <w:t>二个核心产品</w:t>
            </w:r>
            <w:r>
              <w:rPr>
                <w:rFonts w:hint="eastAsia" w:ascii="宋体" w:hAnsi="宋体" w:eastAsia="宋体" w:cs="宋体"/>
                <w:b/>
                <w:bCs/>
                <w:color w:val="auto"/>
                <w:sz w:val="21"/>
                <w:szCs w:val="21"/>
                <w:highlight w:val="none"/>
              </w:rPr>
              <w:t>的制造</w:t>
            </w:r>
            <w:r>
              <w:rPr>
                <w:rFonts w:hint="eastAsia" w:cs="宋体"/>
                <w:b/>
                <w:bCs/>
                <w:color w:val="auto"/>
                <w:sz w:val="21"/>
                <w:szCs w:val="21"/>
                <w:highlight w:val="none"/>
                <w:lang w:val="en-US" w:eastAsia="zh-CN"/>
              </w:rPr>
              <w:t>厂商认证证书，否则不得分</w:t>
            </w:r>
            <w:r>
              <w:rPr>
                <w:rFonts w:hint="eastAsia" w:ascii="宋体" w:hAnsi="宋体" w:eastAsia="宋体" w:cs="宋体"/>
                <w:b/>
                <w:bCs/>
                <w:color w:val="auto"/>
                <w:sz w:val="21"/>
                <w:szCs w:val="21"/>
                <w:highlight w:val="none"/>
                <w:lang w:val="en-US" w:eastAsia="zh-CN"/>
              </w:rPr>
              <w:t>。</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4.投标人2018年1月1日以来（含</w:t>
            </w:r>
            <w:r>
              <w:rPr>
                <w:rFonts w:hint="eastAsia" w:cs="宋体"/>
                <w:b w:val="0"/>
                <w:bCs w:val="0"/>
                <w:color w:val="auto"/>
                <w:sz w:val="21"/>
                <w:szCs w:val="21"/>
                <w:highlight w:val="none"/>
                <w:lang w:val="en-US" w:eastAsia="zh-CN"/>
              </w:rPr>
              <w:t>1月</w:t>
            </w:r>
            <w:r>
              <w:rPr>
                <w:rFonts w:hint="eastAsia" w:ascii="宋体" w:hAnsi="宋体" w:eastAsia="宋体" w:cs="宋体"/>
                <w:b w:val="0"/>
                <w:bCs w:val="0"/>
                <w:color w:val="auto"/>
                <w:sz w:val="21"/>
                <w:szCs w:val="21"/>
                <w:highlight w:val="none"/>
              </w:rPr>
              <w:t>1日、以合同签订时间为准），每提供一个类似项目业绩的得1分，最多得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分；未提供不得分。</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合同复印件和中标（成交）通知书。</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共同</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项目实施</w:t>
            </w:r>
            <w:r>
              <w:rPr>
                <w:rFonts w:hint="eastAsia" w:ascii="宋体" w:hAnsi="宋体" w:eastAsia="宋体" w:cs="宋体"/>
                <w:color w:val="auto"/>
                <w:sz w:val="21"/>
                <w:szCs w:val="21"/>
                <w:highlight w:val="none"/>
                <w:u w:val="none"/>
                <w:lang w:val="en-US" w:eastAsia="zh-CN"/>
              </w:rPr>
              <w:t>方案</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p>
        </w:tc>
        <w:tc>
          <w:tcPr>
            <w:tcW w:w="900"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300" w:type="dxa"/>
            <w:vAlign w:val="center"/>
          </w:tcPr>
          <w:p>
            <w:pPr>
              <w:pStyle w:val="25"/>
              <w:keepNext w:val="0"/>
              <w:keepLines w:val="0"/>
              <w:pageBreakBefore w:val="0"/>
              <w:widowControl w:val="0"/>
              <w:kinsoku/>
              <w:wordWrap w:val="0"/>
              <w:overflowPunct/>
              <w:topLinePunct/>
              <w:autoSpaceDE/>
              <w:autoSpaceDN/>
              <w:bidi w:val="0"/>
              <w:adjustRightInd w:val="0"/>
              <w:snapToGrid w:val="0"/>
              <w:spacing w:line="320" w:lineRule="exact"/>
              <w:ind w:left="28" w:leftChars="0" w:right="28"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1.根据</w:t>
            </w:r>
            <w:r>
              <w:rPr>
                <w:rFonts w:hint="eastAsia" w:ascii="宋体" w:hAnsi="宋体" w:eastAsia="宋体" w:cs="宋体"/>
                <w:b w:val="0"/>
                <w:bCs w:val="0"/>
                <w:color w:val="auto"/>
                <w:sz w:val="21"/>
                <w:szCs w:val="21"/>
                <w:highlight w:val="none"/>
                <w:lang w:val="en-US" w:eastAsia="zh-CN"/>
              </w:rPr>
              <w:t>投标人针对本项目</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rPr>
              <w:t>培训服务方案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包含①培训计划</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②培训目的</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③培训内容</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④培训要求</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⑤培训教材</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⑥课程安排等内容</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进行综合评分：</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en-US" w:eastAsia="zh-CN"/>
              </w:rPr>
              <w:t>齐全</w:t>
            </w:r>
            <w:r>
              <w:rPr>
                <w:rFonts w:hint="eastAsia" w:ascii="宋体" w:hAnsi="宋体" w:eastAsia="宋体" w:cs="宋体"/>
                <w:b w:val="0"/>
                <w:bCs w:val="0"/>
                <w:color w:val="auto"/>
                <w:sz w:val="21"/>
                <w:szCs w:val="21"/>
                <w:highlight w:val="none"/>
              </w:rPr>
              <w:t>的得6分，在此基础上，每有一项缺失的扣1分，扣完为止。</w:t>
            </w:r>
          </w:p>
          <w:p>
            <w:pPr>
              <w:pStyle w:val="25"/>
              <w:keepNext w:val="0"/>
              <w:keepLines w:val="0"/>
              <w:pageBreakBefore w:val="0"/>
              <w:widowControl w:val="0"/>
              <w:kinsoku/>
              <w:wordWrap w:val="0"/>
              <w:overflowPunct/>
              <w:topLinePunct/>
              <w:autoSpaceDE/>
              <w:autoSpaceDN/>
              <w:bidi w:val="0"/>
              <w:adjustRightInd w:val="0"/>
              <w:snapToGrid w:val="0"/>
              <w:spacing w:line="320" w:lineRule="exact"/>
              <w:ind w:left="28" w:leftChars="0" w:right="28"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2.根据</w:t>
            </w:r>
            <w:r>
              <w:rPr>
                <w:rFonts w:hint="eastAsia" w:ascii="宋体" w:hAnsi="宋体" w:eastAsia="宋体" w:cs="宋体"/>
                <w:b w:val="0"/>
                <w:bCs w:val="0"/>
                <w:color w:val="auto"/>
                <w:sz w:val="21"/>
                <w:szCs w:val="21"/>
                <w:highlight w:val="none"/>
                <w:lang w:val="en-US" w:eastAsia="zh-CN"/>
              </w:rPr>
              <w:t>投标人针对本项目</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售后服务方案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包含①售后服务机构情况</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②售后服务计划及服务能力</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③应急服务响应等内容</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进行综合评分：</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en-US" w:eastAsia="zh-CN"/>
              </w:rPr>
              <w:t>齐全</w:t>
            </w:r>
            <w:r>
              <w:rPr>
                <w:rFonts w:hint="eastAsia" w:ascii="宋体" w:hAnsi="宋体" w:eastAsia="宋体" w:cs="宋体"/>
                <w:b w:val="0"/>
                <w:bCs w:val="0"/>
                <w:color w:val="auto"/>
                <w:sz w:val="21"/>
                <w:szCs w:val="21"/>
                <w:highlight w:val="none"/>
              </w:rPr>
              <w:t>的得3分，在此基础上，每有一项缺失的扣1分，扣完为止。</w:t>
            </w:r>
          </w:p>
          <w:p>
            <w:pPr>
              <w:pStyle w:val="25"/>
              <w:keepNext w:val="0"/>
              <w:keepLines w:val="0"/>
              <w:pageBreakBefore w:val="0"/>
              <w:widowControl w:val="0"/>
              <w:kinsoku/>
              <w:wordWrap w:val="0"/>
              <w:overflowPunct/>
              <w:topLinePunct/>
              <w:autoSpaceDE/>
              <w:autoSpaceDN/>
              <w:bidi w:val="0"/>
              <w:adjustRightInd w:val="0"/>
              <w:snapToGrid w:val="0"/>
              <w:spacing w:line="320" w:lineRule="exact"/>
              <w:ind w:left="28" w:leftChars="0" w:right="28" w:rightChars="0" w:firstLine="0" w:firstLineChars="0"/>
              <w:textAlignment w:val="auto"/>
              <w:rPr>
                <w:rFonts w:hint="eastAsia" w:ascii="宋体" w:hAnsi="宋体" w:eastAsia="宋体" w:cs="宋体"/>
                <w:b w:val="0"/>
                <w:bCs w:val="0"/>
                <w:color w:val="auto"/>
                <w:sz w:val="21"/>
                <w:szCs w:val="21"/>
                <w:highlight w:val="none"/>
              </w:rPr>
            </w:pPr>
            <w:r>
              <w:rPr>
                <w:rFonts w:hint="eastAsia"/>
                <w:b/>
                <w:bCs/>
                <w:color w:val="auto"/>
                <w:sz w:val="21"/>
                <w:szCs w:val="21"/>
                <w:highlight w:val="none"/>
                <w:lang w:val="en-US" w:eastAsia="zh-CN"/>
              </w:rPr>
              <w:t>注：以评审专家结合项目实际情况和投标文件响应综合评定为准。</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技术类</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pPr>
              <w:pStyle w:val="25"/>
              <w:keepNext w:val="0"/>
              <w:keepLines w:val="0"/>
              <w:pageBreakBefore w:val="0"/>
              <w:widowControl w:val="0"/>
              <w:kinsoku/>
              <w:wordWrap w:val="0"/>
              <w:overflowPunct/>
              <w:topLinePunct/>
              <w:autoSpaceDE/>
              <w:autoSpaceDN/>
              <w:bidi w:val="0"/>
              <w:adjustRightInd w:val="0"/>
              <w:snapToGrid w:val="0"/>
              <w:spacing w:line="320" w:lineRule="exact"/>
              <w:ind w:left="28" w:leftChars="0" w:right="28"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793"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p>
        </w:tc>
        <w:tc>
          <w:tcPr>
            <w:tcW w:w="1255"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节能、环境</w:t>
            </w:r>
          </w:p>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标志、无线局域网产品</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900" w:type="dxa"/>
            <w:vAlign w:val="center"/>
          </w:tcPr>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300" w:type="dxa"/>
            <w:vAlign w:val="center"/>
          </w:tcPr>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提供的产品属于“政府采购节能产品、环境标志产品实施品目清单”中实施政府优先采购的，提供国家确定的认证机构出具的、处于有效期之内的节能产品、环境标志产品认证证书复印件并加盖供应商单位公章，属于节能产品政府采购品目清单(除台式图形工作工作站、移动式图形工作站及</w:t>
            </w:r>
            <w:r>
              <w:rPr>
                <w:rFonts w:hint="eastAsia" w:ascii="宋体" w:hAnsi="宋体" w:eastAsia="宋体" w:cs="宋体"/>
                <w:color w:val="auto"/>
                <w:sz w:val="21"/>
                <w:szCs w:val="21"/>
                <w:highlight w:val="none"/>
              </w:rPr>
              <w:t>政府采购品目清单中的其它政府强制节能采购产品</w:t>
            </w:r>
            <w:r>
              <w:rPr>
                <w:rFonts w:hint="eastAsia" w:ascii="宋体" w:hAnsi="宋体" w:eastAsia="宋体" w:cs="宋体"/>
                <w:color w:val="auto"/>
                <w:sz w:val="21"/>
                <w:szCs w:val="21"/>
                <w:highlight w:val="none"/>
                <w:lang w:val="en-US" w:eastAsia="zh-CN"/>
              </w:rPr>
              <w:t>外)的得0.5分，属于环境标志产品政府采购品目清单中的得0.5分，最多得2分。</w:t>
            </w:r>
          </w:p>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2.认定为无线局域网认证产品的，供应商提供《无线局域网认证产品政府采购清单》对应页复印件并加盖供应商单位公章的得1分，最多得1分。</w:t>
            </w:r>
          </w:p>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①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②“无线局域网认证产品政府采购清单”以财政部会同国务院有关部门机构认定的为准。</w:t>
            </w:r>
          </w:p>
        </w:tc>
        <w:tc>
          <w:tcPr>
            <w:tcW w:w="1002" w:type="dxa"/>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共同</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50" w:type="dxa"/>
            <w:gridSpan w:val="5"/>
            <w:vAlign w:val="center"/>
          </w:tcPr>
          <w:p>
            <w:pPr>
              <w:pStyle w:val="25"/>
              <w:keepNext w:val="0"/>
              <w:keepLines w:val="0"/>
              <w:pageBreakBefore w:val="0"/>
              <w:widowControl w:val="0"/>
              <w:kinsoku/>
              <w:wordWrap w:val="0"/>
              <w:overflowPunct/>
              <w:autoSpaceDE/>
              <w:autoSpaceDN/>
              <w:bidi w:val="0"/>
              <w:adjustRightInd w:val="0"/>
              <w:snapToGrid w:val="0"/>
              <w:spacing w:line="320" w:lineRule="exact"/>
              <w:ind w:left="28" w:leftChars="0" w:right="28"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1 \* GB3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rPr>
              <w:t>评分的取值按四舍五入法，小数点后</w:t>
            </w:r>
            <w:r>
              <w:rPr>
                <w:rFonts w:hint="eastAsia" w:ascii="宋体" w:hAnsi="宋体" w:eastAsia="宋体" w:cs="宋体"/>
                <w:color w:val="auto"/>
                <w:sz w:val="21"/>
                <w:szCs w:val="21"/>
                <w:highlight w:val="none"/>
                <w:lang w:val="en-US" w:eastAsia="zh-CN"/>
              </w:rPr>
              <w:t>保留</w:t>
            </w:r>
            <w:r>
              <w:rPr>
                <w:rFonts w:hint="eastAsia" w:ascii="宋体" w:hAnsi="宋体" w:eastAsia="宋体" w:cs="宋体"/>
                <w:color w:val="auto"/>
                <w:sz w:val="21"/>
                <w:szCs w:val="21"/>
                <w:highlight w:val="none"/>
              </w:rPr>
              <w:t>两位。</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本表中要求提供</w:t>
            </w:r>
            <w:r>
              <w:rPr>
                <w:rFonts w:hint="eastAsia" w:ascii="宋体" w:hAnsi="宋体" w:eastAsia="宋体" w:cs="宋体"/>
                <w:color w:val="auto"/>
                <w:sz w:val="21"/>
                <w:szCs w:val="21"/>
                <w:highlight w:val="none"/>
                <w:lang w:val="en-US" w:eastAsia="zh-CN"/>
              </w:rPr>
              <w:t>各类证明</w:t>
            </w:r>
            <w:r>
              <w:rPr>
                <w:rFonts w:hint="eastAsia" w:ascii="宋体" w:hAnsi="宋体" w:eastAsia="宋体" w:cs="宋体"/>
                <w:color w:val="auto"/>
                <w:sz w:val="21"/>
                <w:szCs w:val="21"/>
                <w:highlight w:val="none"/>
              </w:rPr>
              <w:t>材料，均需加盖供应商单位公章，否则将不认可该项材料的有效性。</w:t>
            </w:r>
          </w:p>
        </w:tc>
      </w:tr>
    </w:tbl>
    <w:p>
      <w:pPr>
        <w:pStyle w:val="26"/>
        <w:numPr>
          <w:ilvl w:val="1"/>
          <w:numId w:val="11"/>
        </w:numPr>
        <w:tabs>
          <w:tab w:val="left" w:pos="3603"/>
        </w:tabs>
        <w:bidi w:val="0"/>
        <w:rPr>
          <w:rFonts w:hint="eastAsia"/>
          <w:color w:val="auto"/>
          <w:highlight w:val="none"/>
          <w:lang w:val="en-US" w:eastAsia="zh-CN"/>
        </w:rPr>
      </w:pPr>
      <w:bookmarkStart w:id="1136" w:name="_Toc31054"/>
      <w:r>
        <w:rPr>
          <w:rFonts w:hint="eastAsia"/>
          <w:color w:val="auto"/>
          <w:highlight w:val="none"/>
          <w:lang w:val="en-US" w:eastAsia="zh-CN"/>
        </w:rPr>
        <w:t>复核</w:t>
      </w:r>
      <w:bookmarkEnd w:id="1131"/>
      <w:bookmarkEnd w:id="1136"/>
      <w:r>
        <w:rPr>
          <w:rFonts w:hint="eastAsia"/>
          <w:color w:val="auto"/>
          <w:highlight w:val="none"/>
          <w:lang w:val="en-US" w:eastAsia="zh-CN"/>
        </w:rPr>
        <w:tab/>
      </w:r>
    </w:p>
    <w:p>
      <w:pPr>
        <w:pStyle w:val="38"/>
        <w:numPr>
          <w:ilvl w:val="1"/>
          <w:numId w:val="33"/>
        </w:numPr>
        <w:bidi w:val="0"/>
        <w:rPr>
          <w:rFonts w:hint="eastAsia"/>
          <w:color w:val="auto"/>
          <w:highlight w:val="none"/>
          <w:lang w:eastAsia="zh-CN"/>
        </w:rPr>
      </w:pPr>
      <w:r>
        <w:rPr>
          <w:rFonts w:hint="eastAsia"/>
          <w:color w:val="auto"/>
          <w:highlight w:val="none"/>
        </w:rPr>
        <w:t>评标委员会复核</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评分汇总结束后，评标委员会应当进行复核，特别要对拟推荐为中标候选供应商的、报价最低的、投标文件被认定为无效的进行重点复核。</w:t>
      </w:r>
    </w:p>
    <w:p>
      <w:pPr>
        <w:pStyle w:val="38"/>
        <w:bidi w:val="0"/>
        <w:rPr>
          <w:rFonts w:hint="eastAsia"/>
          <w:color w:val="auto"/>
          <w:highlight w:val="none"/>
        </w:rPr>
      </w:pPr>
      <w:r>
        <w:rPr>
          <w:rFonts w:hint="eastAsia"/>
          <w:color w:val="auto"/>
          <w:highlight w:val="none"/>
        </w:rPr>
        <w:t>采购代理机构现场复核评审结果</w:t>
      </w:r>
    </w:p>
    <w:p>
      <w:pPr>
        <w:pStyle w:val="40"/>
        <w:bidi w:val="0"/>
        <w:rPr>
          <w:rFonts w:hint="eastAsia"/>
          <w:color w:val="auto"/>
          <w:highlight w:val="none"/>
        </w:rPr>
      </w:pPr>
      <w:r>
        <w:rPr>
          <w:rFonts w:hint="eastAsia"/>
          <w:color w:val="auto"/>
          <w:highlight w:val="none"/>
        </w:rPr>
        <w:t>评审结果汇总完成后，评</w:t>
      </w:r>
      <w:r>
        <w:rPr>
          <w:rFonts w:hint="eastAsia"/>
          <w:color w:val="auto"/>
          <w:highlight w:val="none"/>
          <w:lang w:val="en-US" w:eastAsia="zh-CN"/>
        </w:rPr>
        <w:t>标</w:t>
      </w:r>
      <w:r>
        <w:rPr>
          <w:rFonts w:hint="eastAsia"/>
          <w:color w:val="auto"/>
          <w:highlight w:val="none"/>
        </w:rPr>
        <w:t>委员会拟出具</w:t>
      </w:r>
      <w:r>
        <w:rPr>
          <w:rFonts w:hint="eastAsia"/>
          <w:color w:val="auto"/>
          <w:highlight w:val="none"/>
          <w:lang w:eastAsia="zh-CN"/>
        </w:rPr>
        <w:t>评标报告</w:t>
      </w:r>
      <w:r>
        <w:rPr>
          <w:rFonts w:hint="eastAsia"/>
          <w:color w:val="auto"/>
          <w:highlight w:val="none"/>
        </w:rPr>
        <w:t>前，采购代理机构应当组织2名以上的本单位工作人员，在采购现场监督人员的监督之下，依据有关的法律制度和采购文件对评审结果进行复核，出具复核报告，存在下列情形之一的，应当根据情况要求评标委员会现场修改评标结果或者重新评标：</w:t>
      </w:r>
    </w:p>
    <w:p>
      <w:pPr>
        <w:pStyle w:val="41"/>
        <w:bidi w:val="0"/>
        <w:rPr>
          <w:rFonts w:hint="eastAsia"/>
          <w:color w:val="auto"/>
          <w:highlight w:val="none"/>
        </w:rPr>
      </w:pPr>
      <w:r>
        <w:rPr>
          <w:rFonts w:hint="eastAsia"/>
          <w:color w:val="auto"/>
          <w:highlight w:val="none"/>
        </w:rPr>
        <w:t>分值汇总计算错误的；</w:t>
      </w:r>
    </w:p>
    <w:p>
      <w:pPr>
        <w:pStyle w:val="41"/>
        <w:bidi w:val="0"/>
        <w:rPr>
          <w:rFonts w:hint="eastAsia"/>
          <w:color w:val="auto"/>
          <w:highlight w:val="none"/>
        </w:rPr>
      </w:pPr>
      <w:r>
        <w:rPr>
          <w:rFonts w:hint="eastAsia"/>
          <w:color w:val="auto"/>
          <w:highlight w:val="none"/>
        </w:rPr>
        <w:t>分项评分超出评分标准范围的；</w:t>
      </w:r>
    </w:p>
    <w:p>
      <w:pPr>
        <w:pStyle w:val="41"/>
        <w:bidi w:val="0"/>
        <w:rPr>
          <w:rFonts w:hint="eastAsia"/>
          <w:color w:val="auto"/>
          <w:highlight w:val="none"/>
        </w:rPr>
      </w:pPr>
      <w:r>
        <w:rPr>
          <w:rFonts w:hint="eastAsia"/>
          <w:color w:val="auto"/>
          <w:highlight w:val="none"/>
        </w:rPr>
        <w:t>评标委员会成员对客观评审因素评分不一致的；</w:t>
      </w:r>
    </w:p>
    <w:p>
      <w:pPr>
        <w:pStyle w:val="41"/>
        <w:bidi w:val="0"/>
        <w:rPr>
          <w:rFonts w:hint="eastAsia"/>
          <w:color w:val="auto"/>
          <w:highlight w:val="none"/>
        </w:rPr>
      </w:pPr>
      <w:r>
        <w:rPr>
          <w:rFonts w:hint="eastAsia"/>
          <w:color w:val="auto"/>
          <w:highlight w:val="none"/>
        </w:rPr>
        <w:t>经评标委员会认定评分畸高、畸低的。</w:t>
      </w:r>
    </w:p>
    <w:p>
      <w:pPr>
        <w:pStyle w:val="29"/>
        <w:bidi w:val="0"/>
        <w:rPr>
          <w:rFonts w:hint="eastAsia"/>
          <w:color w:val="auto"/>
          <w:highlight w:val="none"/>
        </w:rPr>
      </w:pPr>
      <w:r>
        <w:rPr>
          <w:rFonts w:hint="eastAsia"/>
          <w:color w:val="auto"/>
          <w:highlight w:val="none"/>
        </w:rPr>
        <w:t>存在本条上述规定情形的，由评标委员会自主决定是否采纳采购代理机构的书面建议，并承担独立评审责任。评标委员会采纳采购代理机构书面建议的，应当按照规定现场修改评标结果或者重新评标，并在评标报告中详细记载有关事宜；不采纳采购代理机构书面建议的，应当书面说明理由。采购代理机构书面建议未被评标委员会采纳的，应当按照规定程序要求继续组织实施采购活动，不得擅自中止采购活动。采购代理机构认为评标委员会评标结果不合法的，应当书面报告采购项目同级财政部门依法处理。</w:t>
      </w:r>
    </w:p>
    <w:p>
      <w:pPr>
        <w:pStyle w:val="29"/>
        <w:bidi w:val="0"/>
        <w:rPr>
          <w:rFonts w:hint="eastAsia"/>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40"/>
        <w:bidi w:val="0"/>
        <w:rPr>
          <w:rFonts w:hint="eastAsia"/>
          <w:color w:val="auto"/>
          <w:highlight w:val="none"/>
        </w:rPr>
      </w:pPr>
      <w:r>
        <w:rPr>
          <w:rFonts w:hint="eastAsia"/>
          <w:color w:val="auto"/>
          <w:highlight w:val="none"/>
        </w:rPr>
        <w:t>采购代理机构复核过程中，评标委员会不得离开评标现场。</w:t>
      </w:r>
    </w:p>
    <w:p>
      <w:pPr>
        <w:pStyle w:val="40"/>
        <w:bidi w:val="0"/>
        <w:rPr>
          <w:rFonts w:hint="eastAsia"/>
          <w:color w:val="auto"/>
          <w:highlight w:val="none"/>
        </w:rPr>
      </w:pPr>
      <w:r>
        <w:rPr>
          <w:rFonts w:hint="eastAsia"/>
          <w:color w:val="auto"/>
          <w:highlight w:val="none"/>
        </w:rPr>
        <w:t>有下列情形之一的，不得修改评标结果或者重新评标：</w:t>
      </w:r>
    </w:p>
    <w:p>
      <w:pPr>
        <w:pStyle w:val="41"/>
        <w:bidi w:val="0"/>
        <w:rPr>
          <w:rFonts w:hint="eastAsia"/>
          <w:color w:val="auto"/>
          <w:highlight w:val="none"/>
        </w:rPr>
      </w:pPr>
      <w:r>
        <w:rPr>
          <w:rFonts w:hint="eastAsia"/>
          <w:color w:val="auto"/>
          <w:highlight w:val="none"/>
        </w:rPr>
        <w:t>评标委员会已经出具评标报告并且离开评标现场的；</w:t>
      </w:r>
    </w:p>
    <w:p>
      <w:pPr>
        <w:pStyle w:val="41"/>
        <w:bidi w:val="0"/>
        <w:rPr>
          <w:rFonts w:hint="eastAsia"/>
          <w:color w:val="auto"/>
          <w:highlight w:val="none"/>
        </w:rPr>
      </w:pPr>
      <w:r>
        <w:rPr>
          <w:rFonts w:hint="eastAsia"/>
          <w:color w:val="auto"/>
          <w:highlight w:val="none"/>
        </w:rPr>
        <w:t>采购代理机构现场复核时，复核工作人员数量不足的；</w:t>
      </w:r>
    </w:p>
    <w:p>
      <w:pPr>
        <w:pStyle w:val="41"/>
        <w:bidi w:val="0"/>
        <w:rPr>
          <w:rFonts w:hint="eastAsia"/>
          <w:color w:val="auto"/>
          <w:highlight w:val="none"/>
        </w:rPr>
      </w:pPr>
      <w:r>
        <w:rPr>
          <w:rFonts w:hint="eastAsia"/>
          <w:color w:val="auto"/>
          <w:highlight w:val="none"/>
        </w:rPr>
        <w:t>采购代理机构现场复核时，没有采购监督人员现场监督的；</w:t>
      </w:r>
    </w:p>
    <w:p>
      <w:pPr>
        <w:pStyle w:val="41"/>
        <w:bidi w:val="0"/>
        <w:rPr>
          <w:rFonts w:hint="eastAsia"/>
          <w:color w:val="auto"/>
          <w:highlight w:val="none"/>
        </w:rPr>
      </w:pPr>
      <w:r>
        <w:rPr>
          <w:rFonts w:hint="eastAsia"/>
          <w:color w:val="auto"/>
          <w:highlight w:val="none"/>
        </w:rPr>
        <w:t>采购代理机构现场复核内容超出规定范围的；</w:t>
      </w:r>
    </w:p>
    <w:p>
      <w:pPr>
        <w:pStyle w:val="41"/>
        <w:bidi w:val="0"/>
        <w:rPr>
          <w:rFonts w:hint="eastAsia"/>
          <w:color w:val="auto"/>
          <w:highlight w:val="none"/>
        </w:rPr>
      </w:pPr>
      <w:r>
        <w:rPr>
          <w:rFonts w:hint="eastAsia"/>
          <w:color w:val="auto"/>
          <w:highlight w:val="none"/>
        </w:rPr>
        <w:t>采购代理机构未提供书面建议的。</w:t>
      </w:r>
    </w:p>
    <w:p>
      <w:pPr>
        <w:pStyle w:val="26"/>
        <w:numPr>
          <w:ilvl w:val="1"/>
          <w:numId w:val="11"/>
        </w:numPr>
        <w:bidi w:val="0"/>
        <w:rPr>
          <w:rFonts w:hint="eastAsia"/>
          <w:color w:val="auto"/>
          <w:highlight w:val="none"/>
          <w:lang w:val="en-US" w:eastAsia="zh-CN"/>
        </w:rPr>
      </w:pPr>
      <w:bookmarkStart w:id="1137" w:name="_Toc13653"/>
      <w:bookmarkStart w:id="1138" w:name="_Toc31256"/>
      <w:r>
        <w:rPr>
          <w:rFonts w:hint="eastAsia"/>
          <w:color w:val="auto"/>
          <w:highlight w:val="none"/>
          <w:lang w:val="en-US" w:eastAsia="zh-CN"/>
        </w:rPr>
        <w:t>推荐中标候选供应商</w:t>
      </w:r>
      <w:bookmarkEnd w:id="1137"/>
      <w:bookmarkEnd w:id="1138"/>
    </w:p>
    <w:p>
      <w:pPr>
        <w:pStyle w:val="29"/>
        <w:bidi w:val="0"/>
        <w:rPr>
          <w:rFonts w:hint="eastAsia"/>
          <w:color w:val="auto"/>
          <w:highlight w:val="none"/>
        </w:rPr>
      </w:pPr>
      <w:r>
        <w:rPr>
          <w:rFonts w:hint="eastAsia"/>
          <w:color w:val="auto"/>
          <w:highlight w:val="none"/>
        </w:rPr>
        <w:t>中标候选供应商数量应当根据招标文件的规定确定，但必须按顺序排列中标候选供应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9"/>
        <w:bidi w:val="0"/>
        <w:rPr>
          <w:rFonts w:hint="eastAsia"/>
          <w:color w:val="auto"/>
          <w:highlight w:val="none"/>
        </w:rPr>
      </w:pP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不予认可。</w:t>
      </w:r>
    </w:p>
    <w:p>
      <w:pPr>
        <w:pStyle w:val="26"/>
        <w:numPr>
          <w:ilvl w:val="1"/>
          <w:numId w:val="11"/>
        </w:numPr>
        <w:bidi w:val="0"/>
        <w:rPr>
          <w:rFonts w:hint="eastAsia"/>
          <w:color w:val="auto"/>
          <w:highlight w:val="none"/>
          <w:lang w:val="en-US" w:eastAsia="zh-CN"/>
        </w:rPr>
      </w:pPr>
      <w:bookmarkStart w:id="1139" w:name="_Toc7685"/>
      <w:bookmarkStart w:id="1140" w:name="_Toc29611"/>
      <w:r>
        <w:rPr>
          <w:rFonts w:hint="eastAsia"/>
          <w:color w:val="auto"/>
          <w:highlight w:val="none"/>
          <w:lang w:val="en-US" w:eastAsia="zh-CN"/>
        </w:rPr>
        <w:t>出具评标报告</w:t>
      </w:r>
      <w:bookmarkEnd w:id="1139"/>
      <w:bookmarkEnd w:id="1140"/>
    </w:p>
    <w:p>
      <w:pPr>
        <w:pStyle w:val="29"/>
        <w:bidi w:val="0"/>
        <w:rPr>
          <w:rFonts w:hint="eastAsia"/>
          <w:color w:val="auto"/>
          <w:highlight w:val="none"/>
        </w:rPr>
      </w:pPr>
      <w:r>
        <w:rPr>
          <w:rFonts w:hint="eastAsia"/>
          <w:color w:val="auto"/>
          <w:highlight w:val="none"/>
        </w:rPr>
        <w:t>评标委员会推荐中标候选供应商后，应当向招标采购单位出具评标报告。评标报告应当包括下列内容：</w:t>
      </w:r>
    </w:p>
    <w:p>
      <w:pPr>
        <w:pStyle w:val="38"/>
        <w:numPr>
          <w:ilvl w:val="1"/>
          <w:numId w:val="34"/>
        </w:numPr>
        <w:bidi w:val="0"/>
        <w:rPr>
          <w:rFonts w:hint="eastAsia"/>
          <w:color w:val="auto"/>
          <w:highlight w:val="none"/>
        </w:rPr>
      </w:pPr>
      <w:r>
        <w:rPr>
          <w:rFonts w:hint="eastAsia"/>
          <w:color w:val="auto"/>
          <w:highlight w:val="none"/>
        </w:rPr>
        <w:t>招标公告刊登的媒体名称、开标日期和地点；</w:t>
      </w:r>
    </w:p>
    <w:p>
      <w:pPr>
        <w:pStyle w:val="38"/>
        <w:numPr>
          <w:ilvl w:val="1"/>
          <w:numId w:val="34"/>
        </w:numPr>
        <w:bidi w:val="0"/>
        <w:rPr>
          <w:rFonts w:hint="eastAsia"/>
          <w:color w:val="auto"/>
          <w:highlight w:val="none"/>
        </w:rPr>
      </w:pPr>
      <w:r>
        <w:rPr>
          <w:rFonts w:hint="eastAsia"/>
          <w:color w:val="auto"/>
          <w:highlight w:val="none"/>
        </w:rPr>
        <w:t>投标人名单和评标委员会成员名单；</w:t>
      </w:r>
    </w:p>
    <w:p>
      <w:pPr>
        <w:pStyle w:val="38"/>
        <w:numPr>
          <w:ilvl w:val="1"/>
          <w:numId w:val="34"/>
        </w:numPr>
        <w:bidi w:val="0"/>
        <w:rPr>
          <w:rFonts w:hint="eastAsia"/>
          <w:color w:val="auto"/>
          <w:highlight w:val="none"/>
        </w:rPr>
      </w:pPr>
      <w:r>
        <w:rPr>
          <w:rFonts w:hint="eastAsia"/>
          <w:color w:val="auto"/>
          <w:highlight w:val="none"/>
        </w:rPr>
        <w:t>评标方法和标准；</w:t>
      </w:r>
    </w:p>
    <w:p>
      <w:pPr>
        <w:pStyle w:val="38"/>
        <w:numPr>
          <w:ilvl w:val="1"/>
          <w:numId w:val="34"/>
        </w:numPr>
        <w:bidi w:val="0"/>
        <w:rPr>
          <w:rFonts w:hint="eastAsia"/>
          <w:color w:val="auto"/>
          <w:highlight w:val="none"/>
        </w:rPr>
      </w:pPr>
      <w:r>
        <w:rPr>
          <w:rFonts w:hint="eastAsia"/>
          <w:color w:val="auto"/>
          <w:highlight w:val="none"/>
        </w:rPr>
        <w:t>开标记录和评标情况及说明，包括无效投标人名单及原因；</w:t>
      </w:r>
    </w:p>
    <w:p>
      <w:pPr>
        <w:pStyle w:val="38"/>
        <w:numPr>
          <w:ilvl w:val="1"/>
          <w:numId w:val="34"/>
        </w:numPr>
        <w:bidi w:val="0"/>
        <w:rPr>
          <w:rFonts w:hint="eastAsia"/>
          <w:color w:val="auto"/>
          <w:highlight w:val="none"/>
        </w:rPr>
      </w:pPr>
      <w:r>
        <w:rPr>
          <w:rFonts w:hint="eastAsia"/>
          <w:color w:val="auto"/>
          <w:highlight w:val="none"/>
        </w:rPr>
        <w:t>评标结果，确定的中标候选人名单或者经采购人委托直接确定的中标人；</w:t>
      </w:r>
    </w:p>
    <w:p>
      <w:pPr>
        <w:pStyle w:val="38"/>
        <w:numPr>
          <w:ilvl w:val="1"/>
          <w:numId w:val="34"/>
        </w:numPr>
        <w:bidi w:val="0"/>
        <w:rPr>
          <w:rFonts w:hint="eastAsia"/>
          <w:color w:val="auto"/>
          <w:highlight w:val="none"/>
          <w:lang w:val="en-US" w:eastAsia="zh-CN"/>
        </w:rPr>
      </w:pPr>
      <w:r>
        <w:rPr>
          <w:rFonts w:hint="eastAsia"/>
          <w:color w:val="auto"/>
          <w:highlight w:val="none"/>
          <w:lang w:val="en-US" w:eastAsia="zh-CN"/>
        </w:rPr>
        <w:t>其他需要说明的情况，包括评标过程中投标人根据评标委员会要求进行的澄清、说明或者补正，评标委员会成员的更换等。</w:t>
      </w:r>
    </w:p>
    <w:p>
      <w:pPr>
        <w:pStyle w:val="50"/>
        <w:bidi w:val="0"/>
        <w:rPr>
          <w:rFonts w:hint="eastAsia"/>
          <w:color w:val="auto"/>
          <w:highlight w:val="none"/>
          <w:lang w:val="en-US" w:eastAsia="zh-CN"/>
        </w:rPr>
      </w:pPr>
      <w:r>
        <w:rPr>
          <w:rFonts w:hint="eastAsia"/>
          <w:color w:val="auto"/>
          <w:highlight w:val="none"/>
          <w:lang w:val="en-US" w:eastAsia="zh-CN"/>
        </w:rPr>
        <w:t>注：评标委员会成员应当在评标报告中签字确认，对评标过程和结果有不同意见的，应当在评标报告中写明并说明理由。签字但不写明不同意见或者不说明理由的，视同无意见。拒不签字又不另行书面说明其不同意见和理由的，视为同意评标结果。</w:t>
      </w:r>
    </w:p>
    <w:p>
      <w:pPr>
        <w:pStyle w:val="26"/>
        <w:numPr>
          <w:ilvl w:val="1"/>
          <w:numId w:val="11"/>
        </w:numPr>
        <w:bidi w:val="0"/>
        <w:rPr>
          <w:rFonts w:hint="eastAsia"/>
          <w:color w:val="auto"/>
          <w:highlight w:val="none"/>
        </w:rPr>
      </w:pPr>
      <w:bookmarkStart w:id="1141" w:name="_Toc27162"/>
      <w:bookmarkStart w:id="1142" w:name="_Toc17073"/>
      <w:r>
        <w:rPr>
          <w:rFonts w:hint="eastAsia"/>
          <w:color w:val="auto"/>
          <w:highlight w:val="none"/>
        </w:rPr>
        <w:t>废标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132"/>
      <w:bookmarkEnd w:id="1133"/>
      <w:bookmarkEnd w:id="1134"/>
      <w:bookmarkEnd w:id="1135"/>
      <w:bookmarkEnd w:id="1141"/>
      <w:bookmarkEnd w:id="1142"/>
    </w:p>
    <w:p>
      <w:pPr>
        <w:pStyle w:val="29"/>
        <w:bidi w:val="0"/>
        <w:rPr>
          <w:rFonts w:hint="eastAsia"/>
          <w:color w:val="auto"/>
          <w:highlight w:val="none"/>
        </w:rPr>
      </w:pPr>
      <w:r>
        <w:rPr>
          <w:rFonts w:hint="eastAsia"/>
          <w:color w:val="auto"/>
          <w:highlight w:val="none"/>
        </w:rPr>
        <w:t>本次政府采购活动中，出现下列情形之一的，予以废标：</w:t>
      </w:r>
    </w:p>
    <w:p>
      <w:pPr>
        <w:pStyle w:val="40"/>
        <w:bidi w:val="0"/>
        <w:rPr>
          <w:rFonts w:hint="eastAsia"/>
          <w:color w:val="auto"/>
          <w:highlight w:val="none"/>
        </w:rPr>
      </w:pPr>
      <w:r>
        <w:rPr>
          <w:rFonts w:hint="eastAsia"/>
          <w:color w:val="auto"/>
          <w:highlight w:val="none"/>
        </w:rPr>
        <w:t>符合专业条件的供应商或者对招标文件作实质响应的供应商不足三家的；</w:t>
      </w:r>
    </w:p>
    <w:p>
      <w:pPr>
        <w:pStyle w:val="40"/>
        <w:bidi w:val="0"/>
        <w:rPr>
          <w:rFonts w:hint="eastAsia"/>
          <w:color w:val="auto"/>
          <w:highlight w:val="none"/>
        </w:rPr>
      </w:pPr>
      <w:r>
        <w:rPr>
          <w:rFonts w:hint="eastAsia"/>
          <w:color w:val="auto"/>
          <w:highlight w:val="none"/>
        </w:rPr>
        <w:t>出现影响采购公正的违法、违规行为的；</w:t>
      </w:r>
    </w:p>
    <w:p>
      <w:pPr>
        <w:pStyle w:val="40"/>
        <w:bidi w:val="0"/>
        <w:rPr>
          <w:rFonts w:hint="eastAsia"/>
          <w:color w:val="auto"/>
          <w:highlight w:val="none"/>
        </w:rPr>
      </w:pPr>
      <w:r>
        <w:rPr>
          <w:rFonts w:hint="eastAsia"/>
          <w:color w:val="auto"/>
          <w:highlight w:val="none"/>
        </w:rPr>
        <w:t>投标人的报价均超过了采购预算</w:t>
      </w:r>
      <w:r>
        <w:rPr>
          <w:rFonts w:hint="eastAsia"/>
          <w:color w:val="auto"/>
          <w:highlight w:val="none"/>
          <w:lang w:val="en-US" w:eastAsia="zh-CN"/>
        </w:rPr>
        <w:t>或最高限价</w:t>
      </w:r>
      <w:r>
        <w:rPr>
          <w:rFonts w:hint="eastAsia"/>
          <w:color w:val="auto"/>
          <w:highlight w:val="none"/>
        </w:rPr>
        <w:t>，采购人不能支付的；</w:t>
      </w:r>
    </w:p>
    <w:p>
      <w:pPr>
        <w:pStyle w:val="40"/>
        <w:bidi w:val="0"/>
        <w:rPr>
          <w:rFonts w:hint="eastAsia"/>
          <w:color w:val="auto"/>
          <w:highlight w:val="none"/>
        </w:rPr>
      </w:pPr>
      <w:r>
        <w:rPr>
          <w:rFonts w:hint="eastAsia"/>
          <w:color w:val="auto"/>
          <w:highlight w:val="none"/>
        </w:rPr>
        <w:t>因重大变故，采购任务取消的。</w:t>
      </w:r>
    </w:p>
    <w:p>
      <w:pPr>
        <w:pStyle w:val="29"/>
        <w:bidi w:val="0"/>
        <w:rPr>
          <w:rFonts w:hint="eastAsia"/>
          <w:b/>
          <w:bCs/>
          <w:color w:val="auto"/>
          <w:highlight w:val="none"/>
        </w:rPr>
      </w:pPr>
      <w:r>
        <w:rPr>
          <w:rFonts w:hint="eastAsia"/>
          <w:b/>
          <w:bCs/>
          <w:color w:val="auto"/>
          <w:highlight w:val="none"/>
        </w:rPr>
        <w:t>废标后，采购代理机构应在</w:t>
      </w:r>
      <w:r>
        <w:rPr>
          <w:rFonts w:hint="eastAsia"/>
          <w:b/>
          <w:bCs/>
          <w:color w:val="auto"/>
          <w:highlight w:val="none"/>
          <w:lang w:eastAsia="zh-CN"/>
        </w:rPr>
        <w:t>“四川政府采购网”</w:t>
      </w:r>
      <w:r>
        <w:rPr>
          <w:rFonts w:hint="eastAsia"/>
          <w:b/>
          <w:bCs/>
          <w:color w:val="auto"/>
          <w:highlight w:val="none"/>
        </w:rPr>
        <w:t>公告，并公告废标的理由。对于废标的采购项目，评标委员会应当对招标文件是否存在倾向性和歧视性、是否存在不合理条款进行论证，并出具书面论证意见。</w:t>
      </w:r>
    </w:p>
    <w:p>
      <w:pPr>
        <w:pStyle w:val="26"/>
        <w:numPr>
          <w:ilvl w:val="1"/>
          <w:numId w:val="11"/>
        </w:numPr>
        <w:bidi w:val="0"/>
        <w:rPr>
          <w:rFonts w:hint="eastAsia"/>
          <w:color w:val="auto"/>
          <w:highlight w:val="none"/>
        </w:rPr>
      </w:pPr>
      <w:bookmarkStart w:id="1143" w:name="_Toc319440193"/>
      <w:bookmarkStart w:id="1144" w:name="_Toc307501158"/>
      <w:bookmarkStart w:id="1145" w:name="_Toc309897567"/>
      <w:bookmarkStart w:id="1146" w:name="_Toc31281"/>
      <w:bookmarkStart w:id="1147" w:name="_Toc13169"/>
      <w:bookmarkStart w:id="1148" w:name="_Toc10846"/>
      <w:bookmarkStart w:id="1149" w:name="_Toc308084649"/>
      <w:bookmarkStart w:id="1150" w:name="_Toc327196344"/>
      <w:bookmarkStart w:id="1151" w:name="_Toc21352"/>
      <w:bookmarkStart w:id="1152" w:name="_Toc319439949"/>
      <w:bookmarkStart w:id="1153" w:name="_Toc2453"/>
      <w:bookmarkStart w:id="1154" w:name="_Toc4475"/>
      <w:bookmarkStart w:id="1155" w:name="_Toc4794"/>
      <w:bookmarkStart w:id="1156" w:name="_Toc25875"/>
      <w:bookmarkStart w:id="1157" w:name="_Toc6250"/>
      <w:bookmarkStart w:id="1158" w:name="_Toc307564900"/>
      <w:bookmarkStart w:id="1159" w:name="_Toc768"/>
      <w:bookmarkStart w:id="1160" w:name="_Toc7121"/>
      <w:bookmarkStart w:id="1161" w:name="_Toc24655"/>
      <w:bookmarkStart w:id="1162" w:name="_Toc308188202"/>
      <w:r>
        <w:rPr>
          <w:rFonts w:hint="eastAsia"/>
          <w:color w:val="auto"/>
          <w:highlight w:val="none"/>
        </w:rPr>
        <w:t>定标</w:t>
      </w:r>
      <w:bookmarkEnd w:id="1024"/>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Start w:id="1163" w:name="_Toc217446061"/>
    </w:p>
    <w:p>
      <w:pPr>
        <w:pStyle w:val="38"/>
        <w:numPr>
          <w:ilvl w:val="1"/>
          <w:numId w:val="35"/>
        </w:numPr>
        <w:bidi w:val="0"/>
        <w:rPr>
          <w:rFonts w:hint="eastAsia"/>
          <w:color w:val="auto"/>
          <w:highlight w:val="none"/>
        </w:rPr>
      </w:pPr>
      <w:r>
        <w:rPr>
          <w:rFonts w:hint="eastAsia"/>
          <w:color w:val="auto"/>
          <w:highlight w:val="none"/>
        </w:rPr>
        <w:t>定标原则</w:t>
      </w:r>
      <w:bookmarkEnd w:id="1163"/>
      <w:r>
        <w:rPr>
          <w:rFonts w:hint="eastAsia"/>
          <w:color w:val="auto"/>
          <w:highlight w:val="none"/>
        </w:rPr>
        <w:t>：本项目根据评委会推荐的中标候选人名单，按顺序确定中标人。</w:t>
      </w:r>
    </w:p>
    <w:p>
      <w:pPr>
        <w:pStyle w:val="38"/>
        <w:numPr>
          <w:ilvl w:val="1"/>
          <w:numId w:val="35"/>
        </w:numPr>
        <w:bidi w:val="0"/>
        <w:rPr>
          <w:rFonts w:hint="eastAsia"/>
          <w:color w:val="auto"/>
          <w:highlight w:val="none"/>
        </w:rPr>
      </w:pPr>
      <w:bookmarkStart w:id="1164" w:name="_Toc217446062"/>
      <w:r>
        <w:rPr>
          <w:rFonts w:hint="eastAsia"/>
          <w:color w:val="auto"/>
          <w:highlight w:val="none"/>
        </w:rPr>
        <w:t>定标程序</w:t>
      </w:r>
      <w:bookmarkEnd w:id="1164"/>
    </w:p>
    <w:p>
      <w:pPr>
        <w:pStyle w:val="40"/>
        <w:bidi w:val="0"/>
        <w:rPr>
          <w:rFonts w:hint="eastAsia"/>
          <w:color w:val="auto"/>
          <w:highlight w:val="none"/>
        </w:rPr>
      </w:pPr>
      <w:r>
        <w:rPr>
          <w:rFonts w:hint="eastAsia"/>
          <w:color w:val="auto"/>
          <w:highlight w:val="none"/>
          <w:lang w:val="en-US" w:eastAsia="zh-CN"/>
        </w:rPr>
        <w:t>评标委员会根据全体评标成员签字的原始评标记录和评标结果编写评标报告</w:t>
      </w:r>
      <w:r>
        <w:rPr>
          <w:rFonts w:hint="eastAsia"/>
          <w:color w:val="auto"/>
          <w:highlight w:val="none"/>
        </w:rPr>
        <w:t>，推荐</w:t>
      </w:r>
      <w:r>
        <w:rPr>
          <w:rFonts w:hint="eastAsia"/>
          <w:color w:val="auto"/>
          <w:highlight w:val="none"/>
          <w:lang w:val="en-US" w:eastAsia="zh-CN"/>
        </w:rPr>
        <w:t>不少于三名</w:t>
      </w:r>
      <w:r>
        <w:rPr>
          <w:rFonts w:hint="eastAsia"/>
          <w:color w:val="auto"/>
          <w:highlight w:val="none"/>
        </w:rPr>
        <w:t>中标候选人，并按照综合得分高低标明排列顺序。</w:t>
      </w:r>
    </w:p>
    <w:p>
      <w:pPr>
        <w:pStyle w:val="40"/>
        <w:bidi w:val="0"/>
        <w:rPr>
          <w:rFonts w:hint="eastAsia"/>
          <w:color w:val="auto"/>
          <w:highlight w:val="none"/>
        </w:rPr>
      </w:pPr>
      <w:r>
        <w:rPr>
          <w:rFonts w:hint="eastAsia"/>
          <w:color w:val="auto"/>
          <w:highlight w:val="none"/>
        </w:rPr>
        <w:t>采购代理机构在评标结束后2个工作日内将评标报告送采购人。</w:t>
      </w:r>
    </w:p>
    <w:p>
      <w:pPr>
        <w:pStyle w:val="40"/>
        <w:bidi w:val="0"/>
        <w:rPr>
          <w:rFonts w:hint="eastAsia"/>
          <w:color w:val="auto"/>
          <w:highlight w:val="none"/>
        </w:rPr>
      </w:pPr>
      <w:r>
        <w:rPr>
          <w:rFonts w:hint="eastAsia"/>
          <w:color w:val="auto"/>
          <w:highlight w:val="none"/>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9"/>
        <w:bidi w:val="0"/>
        <w:rPr>
          <w:rFonts w:hint="eastAsia"/>
          <w:color w:val="auto"/>
          <w:highlight w:val="none"/>
        </w:rPr>
      </w:pPr>
      <w:r>
        <w:rPr>
          <w:rFonts w:hint="eastAsia"/>
          <w:color w:val="auto"/>
          <w:highlight w:val="none"/>
          <w:lang w:val="en-US" w:eastAsia="zh-CN"/>
        </w:rPr>
        <w:t>采</w:t>
      </w:r>
      <w:r>
        <w:rPr>
          <w:rFonts w:hint="eastAsia"/>
          <w:color w:val="auto"/>
          <w:highlight w:val="none"/>
        </w:rPr>
        <w:t>购人在收到评标报告5个工作日内未按评标报告推荐的中标候选人顺序确定中标人，又不能说明合法理由的，视同按评标报告推荐的顺序确定排名第一的中标候选人为中标人。</w:t>
      </w:r>
    </w:p>
    <w:p>
      <w:pPr>
        <w:pStyle w:val="40"/>
        <w:bidi w:val="0"/>
        <w:rPr>
          <w:rFonts w:hint="eastAsia"/>
          <w:color w:val="auto"/>
          <w:highlight w:val="none"/>
        </w:rPr>
      </w:pPr>
      <w:r>
        <w:rPr>
          <w:rFonts w:hint="eastAsia"/>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w:t>
      </w:r>
      <w:r>
        <w:rPr>
          <w:rFonts w:hint="eastAsia"/>
          <w:color w:val="auto"/>
          <w:highlight w:val="none"/>
          <w:lang w:eastAsia="zh-CN"/>
        </w:rPr>
        <w:t>中标人</w:t>
      </w:r>
      <w:r>
        <w:rPr>
          <w:rFonts w:hint="eastAsia"/>
          <w:color w:val="auto"/>
          <w:highlight w:val="none"/>
        </w:rPr>
        <w:t>。</w:t>
      </w:r>
    </w:p>
    <w:p>
      <w:pPr>
        <w:pStyle w:val="40"/>
        <w:bidi w:val="0"/>
        <w:rPr>
          <w:rFonts w:hint="eastAsia"/>
        </w:rPr>
      </w:pPr>
      <w:r>
        <w:rPr>
          <w:rFonts w:hint="eastAsia"/>
          <w:lang w:val="en-US" w:eastAsia="zh-CN"/>
        </w:rPr>
        <w:t>投标人中标后应当及时领取中标通知书，不能及时领取或拒绝领取中标通知书的，采购代理机构将于中标供应商确定之日起两个工作日内采取邮寄、快递方式将中标通知书送达中标人</w:t>
      </w:r>
      <w:r>
        <w:rPr>
          <w:rFonts w:hint="eastAsia"/>
        </w:rPr>
        <w:t>。</w:t>
      </w:r>
    </w:p>
    <w:p>
      <w:pPr>
        <w:pStyle w:val="40"/>
        <w:bidi w:val="0"/>
        <w:rPr>
          <w:rFonts w:hint="eastAsia"/>
          <w:color w:val="auto"/>
          <w:highlight w:val="none"/>
        </w:rPr>
      </w:pPr>
      <w:r>
        <w:rPr>
          <w:rFonts w:hint="eastAsia"/>
          <w:color w:val="auto"/>
          <w:highlight w:val="none"/>
        </w:rPr>
        <w:t>招标采购单位不退回投标人投标文件和其他投标资料。</w:t>
      </w:r>
    </w:p>
    <w:bookmarkEnd w:id="1025"/>
    <w:p>
      <w:pPr>
        <w:pStyle w:val="26"/>
        <w:numPr>
          <w:ilvl w:val="1"/>
          <w:numId w:val="11"/>
        </w:numPr>
        <w:bidi w:val="0"/>
        <w:rPr>
          <w:rFonts w:hint="eastAsia"/>
          <w:color w:val="auto"/>
          <w:highlight w:val="none"/>
        </w:rPr>
      </w:pPr>
      <w:bookmarkStart w:id="1165" w:name="_Toc16879"/>
      <w:bookmarkStart w:id="1166" w:name="_Toc8099"/>
      <w:bookmarkStart w:id="1167" w:name="_Toc307501159"/>
      <w:bookmarkStart w:id="1168" w:name="_Toc14102"/>
      <w:bookmarkStart w:id="1169" w:name="_Toc319440194"/>
      <w:bookmarkStart w:id="1170" w:name="_Toc10903"/>
      <w:bookmarkStart w:id="1171" w:name="_Toc9937"/>
      <w:bookmarkStart w:id="1172" w:name="_Toc307564901"/>
      <w:bookmarkStart w:id="1173" w:name="_Toc319439950"/>
      <w:bookmarkStart w:id="1174" w:name="_Toc25198"/>
      <w:bookmarkStart w:id="1175" w:name="_Toc32114"/>
      <w:bookmarkStart w:id="1176" w:name="_Toc309897568"/>
      <w:bookmarkStart w:id="1177" w:name="_Toc308084650"/>
      <w:bookmarkStart w:id="1178" w:name="_Toc327196345"/>
      <w:bookmarkStart w:id="1179" w:name="_Toc22537"/>
      <w:bookmarkStart w:id="1180" w:name="_Toc15982"/>
      <w:bookmarkStart w:id="1181" w:name="_Toc27423"/>
      <w:bookmarkStart w:id="1182" w:name="_Toc308188203"/>
      <w:bookmarkStart w:id="1183" w:name="_Toc25084"/>
      <w:bookmarkStart w:id="1184" w:name="_Toc27662"/>
      <w:r>
        <w:rPr>
          <w:rFonts w:hint="eastAsia"/>
          <w:color w:val="auto"/>
          <w:highlight w:val="none"/>
          <w:lang w:eastAsia="zh-CN"/>
        </w:rPr>
        <w:t>评标专家</w:t>
      </w:r>
      <w:r>
        <w:rPr>
          <w:rFonts w:hint="eastAsia"/>
          <w:color w:val="auto"/>
          <w:highlight w:val="none"/>
        </w:rPr>
        <w:t>在政府采购活动中承担以下义务</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pPr>
        <w:pStyle w:val="38"/>
        <w:numPr>
          <w:ilvl w:val="1"/>
          <w:numId w:val="36"/>
        </w:numPr>
        <w:bidi w:val="0"/>
        <w:rPr>
          <w:rFonts w:hint="eastAsia"/>
          <w:color w:val="auto"/>
          <w:highlight w:val="none"/>
        </w:rPr>
      </w:pPr>
      <w:r>
        <w:rPr>
          <w:rFonts w:hint="eastAsia"/>
          <w:color w:val="auto"/>
          <w:highlight w:val="none"/>
        </w:rPr>
        <w:t>遵守评标工作纪律；</w:t>
      </w:r>
    </w:p>
    <w:p>
      <w:pPr>
        <w:pStyle w:val="38"/>
        <w:numPr>
          <w:ilvl w:val="1"/>
          <w:numId w:val="36"/>
        </w:numPr>
        <w:bidi w:val="0"/>
        <w:rPr>
          <w:rFonts w:hint="eastAsia"/>
          <w:color w:val="auto"/>
          <w:highlight w:val="none"/>
        </w:rPr>
      </w:pPr>
      <w:r>
        <w:rPr>
          <w:rFonts w:hint="eastAsia"/>
          <w:color w:val="auto"/>
          <w:highlight w:val="none"/>
        </w:rPr>
        <w:t>按照客观、公正、审慎的原则，根据招标文件规定的评标程序、评标方法和评标标准进行独立评标；</w:t>
      </w:r>
    </w:p>
    <w:p>
      <w:pPr>
        <w:pStyle w:val="38"/>
        <w:numPr>
          <w:ilvl w:val="1"/>
          <w:numId w:val="36"/>
        </w:numPr>
        <w:bidi w:val="0"/>
        <w:rPr>
          <w:rFonts w:hint="eastAsia"/>
          <w:color w:val="auto"/>
          <w:highlight w:val="none"/>
        </w:rPr>
      </w:pPr>
      <w:r>
        <w:rPr>
          <w:rFonts w:hint="eastAsia"/>
          <w:color w:val="auto"/>
          <w:highlight w:val="none"/>
        </w:rPr>
        <w:t>不得泄露评标文件、评标情况和在评标过程中获悉的商业秘密；</w:t>
      </w:r>
    </w:p>
    <w:p>
      <w:pPr>
        <w:pStyle w:val="38"/>
        <w:numPr>
          <w:ilvl w:val="1"/>
          <w:numId w:val="36"/>
        </w:numPr>
        <w:bidi w:val="0"/>
        <w:rPr>
          <w:rFonts w:hint="eastAsia"/>
          <w:color w:val="auto"/>
          <w:highlight w:val="none"/>
        </w:rPr>
      </w:pPr>
      <w:r>
        <w:rPr>
          <w:rFonts w:hint="eastAsia"/>
          <w:color w:val="auto"/>
          <w:highlight w:val="none"/>
        </w:rPr>
        <w:t>及时向财政部门报告评标过程中发现的采购人、采购代理机构向评标专家做倾向性、误导性的解释或者说明，以及供应商行贿、提供虚假材料或者串通等违法行为；</w:t>
      </w:r>
    </w:p>
    <w:p>
      <w:pPr>
        <w:pStyle w:val="38"/>
        <w:numPr>
          <w:ilvl w:val="1"/>
          <w:numId w:val="36"/>
        </w:numPr>
        <w:bidi w:val="0"/>
        <w:rPr>
          <w:rFonts w:hint="eastAsia"/>
          <w:color w:val="auto"/>
          <w:highlight w:val="none"/>
        </w:rPr>
      </w:pPr>
      <w:r>
        <w:rPr>
          <w:rFonts w:hint="eastAsia"/>
          <w:color w:val="auto"/>
          <w:highlight w:val="none"/>
        </w:rPr>
        <w:t>发现招标文件内容违反国家有关强制性规定或者采购文件存在歧义、重大缺陷导致评标工作无法进行时，停止评标并向采购人或者采购代理机构书面说明情况；</w:t>
      </w:r>
    </w:p>
    <w:p>
      <w:pPr>
        <w:pStyle w:val="38"/>
        <w:numPr>
          <w:ilvl w:val="1"/>
          <w:numId w:val="36"/>
        </w:numPr>
        <w:bidi w:val="0"/>
        <w:rPr>
          <w:rFonts w:hint="eastAsia"/>
          <w:color w:val="auto"/>
          <w:highlight w:val="none"/>
        </w:rPr>
      </w:pPr>
      <w:r>
        <w:rPr>
          <w:rFonts w:hint="eastAsia"/>
          <w:color w:val="auto"/>
          <w:highlight w:val="none"/>
        </w:rPr>
        <w:t>及时向财政、监察等部门举报在评标过程中受到的非法干预情况；</w:t>
      </w:r>
    </w:p>
    <w:p>
      <w:pPr>
        <w:pStyle w:val="38"/>
        <w:numPr>
          <w:ilvl w:val="1"/>
          <w:numId w:val="36"/>
        </w:numPr>
        <w:bidi w:val="0"/>
        <w:rPr>
          <w:rFonts w:hint="eastAsia"/>
          <w:color w:val="auto"/>
          <w:highlight w:val="none"/>
        </w:rPr>
      </w:pPr>
      <w:r>
        <w:rPr>
          <w:rFonts w:hint="eastAsia"/>
          <w:color w:val="auto"/>
          <w:highlight w:val="none"/>
        </w:rPr>
        <w:t>配合答复处理供应商的询问、质疑和投诉等事项；</w:t>
      </w:r>
    </w:p>
    <w:p>
      <w:pPr>
        <w:pStyle w:val="38"/>
        <w:numPr>
          <w:ilvl w:val="1"/>
          <w:numId w:val="36"/>
        </w:numPr>
        <w:bidi w:val="0"/>
        <w:rPr>
          <w:rFonts w:hint="eastAsia"/>
          <w:color w:val="auto"/>
          <w:highlight w:val="none"/>
        </w:rPr>
      </w:pPr>
      <w:r>
        <w:rPr>
          <w:rFonts w:hint="eastAsia"/>
          <w:color w:val="auto"/>
          <w:highlight w:val="none"/>
        </w:rPr>
        <w:t>法律、法规和规章规定的其他义务。</w:t>
      </w:r>
    </w:p>
    <w:p>
      <w:pPr>
        <w:pStyle w:val="26"/>
        <w:numPr>
          <w:ilvl w:val="1"/>
          <w:numId w:val="11"/>
        </w:numPr>
        <w:bidi w:val="0"/>
        <w:rPr>
          <w:rFonts w:hint="eastAsia"/>
          <w:color w:val="auto"/>
          <w:highlight w:val="none"/>
        </w:rPr>
      </w:pPr>
      <w:bookmarkStart w:id="1185" w:name="_Toc3688"/>
      <w:bookmarkStart w:id="1186" w:name="_Toc30872"/>
      <w:bookmarkStart w:id="1187" w:name="_Toc319440195"/>
      <w:bookmarkStart w:id="1188" w:name="_Toc22368"/>
      <w:bookmarkStart w:id="1189" w:name="_Toc27047"/>
      <w:bookmarkStart w:id="1190" w:name="_Toc24913"/>
      <w:bookmarkStart w:id="1191" w:name="_Toc29759"/>
      <w:bookmarkStart w:id="1192" w:name="_Toc1288"/>
      <w:bookmarkStart w:id="1193" w:name="_Toc12088"/>
      <w:bookmarkStart w:id="1194" w:name="_Toc327196346"/>
      <w:bookmarkStart w:id="1195" w:name="_Toc4379"/>
      <w:bookmarkStart w:id="1196" w:name="_Toc1690"/>
      <w:bookmarkStart w:id="1197" w:name="_Toc28428"/>
      <w:bookmarkStart w:id="1198" w:name="_Toc19071"/>
      <w:r>
        <w:rPr>
          <w:rFonts w:hint="eastAsia"/>
          <w:color w:val="auto"/>
          <w:highlight w:val="none"/>
          <w:lang w:eastAsia="zh-CN"/>
        </w:rPr>
        <w:t>评标专家</w:t>
      </w:r>
      <w:r>
        <w:rPr>
          <w:rFonts w:hint="eastAsia"/>
          <w:color w:val="auto"/>
          <w:highlight w:val="none"/>
        </w:rPr>
        <w:t>在政府采购活动中应当遵守以下工作纪律</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pStyle w:val="38"/>
        <w:numPr>
          <w:ilvl w:val="1"/>
          <w:numId w:val="37"/>
        </w:numPr>
        <w:bidi w:val="0"/>
        <w:rPr>
          <w:rFonts w:hint="eastAsia"/>
          <w:color w:val="auto"/>
          <w:highlight w:val="none"/>
        </w:rPr>
      </w:pPr>
      <w:bookmarkStart w:id="1199" w:name="_Toc28956"/>
      <w:r>
        <w:rPr>
          <w:rFonts w:hint="eastAsia"/>
          <w:color w:val="auto"/>
          <w:highlight w:val="none"/>
        </w:rPr>
        <w:t>遵行《</w:t>
      </w:r>
      <w:r>
        <w:rPr>
          <w:rFonts w:hint="eastAsia"/>
          <w:color w:val="auto"/>
          <w:highlight w:val="none"/>
          <w:lang w:val="en-US" w:eastAsia="zh-CN"/>
        </w:rPr>
        <w:t>中华人民共和国</w:t>
      </w:r>
      <w:r>
        <w:rPr>
          <w:rFonts w:hint="eastAsia"/>
          <w:color w:val="auto"/>
          <w:highlight w:val="none"/>
        </w:rPr>
        <w:t>政府采购法》第十二条和《</w:t>
      </w:r>
      <w:r>
        <w:rPr>
          <w:rFonts w:hint="eastAsia"/>
          <w:color w:val="auto"/>
          <w:highlight w:val="none"/>
          <w:lang w:val="en-US" w:eastAsia="zh-CN"/>
        </w:rPr>
        <w:t>中华人民共和国</w:t>
      </w:r>
      <w:r>
        <w:rPr>
          <w:rFonts w:hint="eastAsia"/>
          <w:color w:val="auto"/>
          <w:highlight w:val="none"/>
        </w:rPr>
        <w:t>政府采购法实施条例》第九条及财政部关于回避的规定；</w:t>
      </w:r>
    </w:p>
    <w:p>
      <w:pPr>
        <w:pStyle w:val="38"/>
        <w:numPr>
          <w:ilvl w:val="1"/>
          <w:numId w:val="37"/>
        </w:numPr>
        <w:bidi w:val="0"/>
        <w:rPr>
          <w:rFonts w:hint="eastAsia"/>
          <w:color w:val="auto"/>
          <w:highlight w:val="none"/>
        </w:rPr>
      </w:pPr>
      <w:r>
        <w:rPr>
          <w:rFonts w:hint="eastAsia"/>
          <w:color w:val="auto"/>
          <w:highlight w:val="none"/>
        </w:rPr>
        <w:t>评标前，应当将通讯工具或者相关电子设备交由招标采购单位统一保管；</w:t>
      </w:r>
    </w:p>
    <w:p>
      <w:pPr>
        <w:pStyle w:val="38"/>
        <w:numPr>
          <w:ilvl w:val="1"/>
          <w:numId w:val="37"/>
        </w:numPr>
        <w:bidi w:val="0"/>
        <w:rPr>
          <w:rFonts w:hint="eastAsia"/>
          <w:color w:val="auto"/>
          <w:highlight w:val="none"/>
        </w:rPr>
      </w:pPr>
      <w:r>
        <w:rPr>
          <w:rFonts w:hint="eastAsia"/>
          <w:color w:val="auto"/>
          <w:highlight w:val="none"/>
        </w:rPr>
        <w:t>评标过程中，不得与外界联系，因发生不可预见情况，确实需要与外界联系的，应当在监督人员监督之下办理；</w:t>
      </w:r>
    </w:p>
    <w:p>
      <w:pPr>
        <w:pStyle w:val="38"/>
        <w:numPr>
          <w:ilvl w:val="1"/>
          <w:numId w:val="37"/>
        </w:numPr>
        <w:bidi w:val="0"/>
        <w:rPr>
          <w:rFonts w:hint="eastAsia"/>
          <w:color w:val="auto"/>
          <w:highlight w:val="none"/>
        </w:rPr>
      </w:pPr>
      <w:r>
        <w:rPr>
          <w:rFonts w:hint="eastAsia"/>
          <w:color w:val="auto"/>
          <w:highlight w:val="none"/>
        </w:rPr>
        <w:t>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Style w:val="38"/>
        <w:numPr>
          <w:ilvl w:val="1"/>
          <w:numId w:val="37"/>
        </w:numPr>
        <w:bidi w:val="0"/>
        <w:rPr>
          <w:rFonts w:hint="eastAsia"/>
          <w:color w:val="auto"/>
          <w:highlight w:val="none"/>
        </w:rPr>
      </w:pPr>
      <w:r>
        <w:rPr>
          <w:rFonts w:hint="eastAsia"/>
          <w:color w:val="auto"/>
          <w:highlight w:val="none"/>
        </w:rPr>
        <w:t>在评标过程中和评标结束后，不得记录、复制或带走任何评标资料，除因规定的义务外，不得向外界透露评标内容；</w:t>
      </w:r>
    </w:p>
    <w:p>
      <w:pPr>
        <w:pStyle w:val="38"/>
        <w:numPr>
          <w:ilvl w:val="1"/>
          <w:numId w:val="37"/>
        </w:numPr>
        <w:bidi w:val="0"/>
        <w:rPr>
          <w:rFonts w:hint="eastAsia"/>
          <w:color w:val="auto"/>
          <w:highlight w:val="none"/>
          <w:lang w:eastAsia="zh-CN"/>
        </w:rPr>
      </w:pPr>
      <w:r>
        <w:rPr>
          <w:rFonts w:hint="eastAsia"/>
          <w:color w:val="auto"/>
          <w:highlight w:val="none"/>
        </w:rPr>
        <w:t>服从评标现场招标采购单位的现场秩序管理，接受评标现场监督人员的合法监督</w:t>
      </w:r>
      <w:r>
        <w:rPr>
          <w:rFonts w:hint="eastAsia"/>
          <w:color w:val="auto"/>
          <w:highlight w:val="none"/>
          <w:lang w:eastAsia="zh-CN"/>
        </w:rPr>
        <w:t>；</w:t>
      </w:r>
    </w:p>
    <w:p>
      <w:pPr>
        <w:pStyle w:val="38"/>
        <w:numPr>
          <w:ilvl w:val="1"/>
          <w:numId w:val="37"/>
        </w:numPr>
        <w:bidi w:val="0"/>
        <w:rPr>
          <w:rFonts w:hint="eastAsia"/>
          <w:color w:val="auto"/>
          <w:highlight w:val="none"/>
        </w:rPr>
      </w:pPr>
      <w:r>
        <w:rPr>
          <w:rFonts w:hint="eastAsia"/>
          <w:color w:val="auto"/>
          <w:highlight w:val="none"/>
        </w:rPr>
        <w:t>遵守有关廉洁自律规定，不得私下接触供应商，不得收受供应商及有关业务单位和个人的财物或好处，不得接受招标采购单位的请托。</w:t>
      </w:r>
    </w:p>
    <w:p>
      <w:pPr>
        <w:pStyle w:val="38"/>
        <w:numPr>
          <w:ilvl w:val="1"/>
          <w:numId w:val="37"/>
        </w:numPr>
        <w:bidi w:val="0"/>
        <w:rPr>
          <w:rFonts w:hint="eastAsia"/>
          <w:color w:val="auto"/>
          <w:highlight w:val="none"/>
          <w:lang w:eastAsia="zh-CN"/>
        </w:rPr>
      </w:pPr>
      <w:r>
        <w:rPr>
          <w:rFonts w:hint="eastAsia"/>
          <w:color w:val="auto"/>
          <w:highlight w:val="none"/>
        </w:rPr>
        <w:t>有关部门(机构)制定的其他评审工作纪律</w:t>
      </w:r>
      <w:r>
        <w:rPr>
          <w:rFonts w:hint="eastAsia"/>
          <w:color w:val="auto"/>
          <w:highlight w:val="none"/>
          <w:lang w:eastAsia="zh-CN"/>
        </w:rPr>
        <w:t>。</w:t>
      </w:r>
    </w:p>
    <w:p>
      <w:pPr>
        <w:pStyle w:val="26"/>
        <w:numPr>
          <w:ilvl w:val="1"/>
          <w:numId w:val="11"/>
        </w:numPr>
        <w:bidi w:val="0"/>
        <w:rPr>
          <w:rFonts w:hint="eastAsia"/>
          <w:color w:val="auto"/>
          <w:highlight w:val="none"/>
        </w:rPr>
      </w:pPr>
      <w:bookmarkStart w:id="1200" w:name="_Toc3535"/>
      <w:bookmarkStart w:id="1201" w:name="_Toc8256"/>
      <w:bookmarkStart w:id="1202" w:name="_Toc30239"/>
      <w:bookmarkStart w:id="1203" w:name="_Toc26220"/>
      <w:r>
        <w:rPr>
          <w:rFonts w:hint="eastAsia"/>
          <w:color w:val="auto"/>
          <w:highlight w:val="none"/>
        </w:rPr>
        <w:t>评标委员会及其成员不得有下列行为</w:t>
      </w:r>
      <w:bookmarkEnd w:id="1200"/>
      <w:bookmarkEnd w:id="1201"/>
      <w:bookmarkEnd w:id="1202"/>
      <w:bookmarkEnd w:id="1203"/>
    </w:p>
    <w:p>
      <w:pPr>
        <w:pStyle w:val="38"/>
        <w:numPr>
          <w:ilvl w:val="1"/>
          <w:numId w:val="38"/>
        </w:numPr>
        <w:bidi w:val="0"/>
        <w:rPr>
          <w:rFonts w:hint="eastAsia"/>
          <w:color w:val="auto"/>
          <w:highlight w:val="none"/>
        </w:rPr>
      </w:pPr>
      <w:r>
        <w:rPr>
          <w:rFonts w:hint="eastAsia"/>
          <w:color w:val="auto"/>
          <w:highlight w:val="none"/>
        </w:rPr>
        <w:t>确定参与评标至评标结束前私自接触投标人；</w:t>
      </w:r>
    </w:p>
    <w:p>
      <w:pPr>
        <w:pStyle w:val="38"/>
        <w:numPr>
          <w:ilvl w:val="1"/>
          <w:numId w:val="38"/>
        </w:numPr>
        <w:bidi w:val="0"/>
        <w:rPr>
          <w:rFonts w:hint="eastAsia"/>
          <w:color w:val="auto"/>
          <w:highlight w:val="none"/>
        </w:rPr>
      </w:pPr>
      <w:r>
        <w:rPr>
          <w:rFonts w:hint="eastAsia"/>
          <w:color w:val="auto"/>
          <w:highlight w:val="none"/>
        </w:rPr>
        <w:t>接受投标人提出的与投标文件不一致的澄清或者说明，《政府采购货物和服务招标投标管理办法》</w:t>
      </w:r>
      <w:r>
        <w:rPr>
          <w:rFonts w:hint="eastAsia"/>
          <w:color w:val="auto"/>
          <w:highlight w:val="none"/>
          <w:lang w:eastAsia="zh-CN"/>
        </w:rPr>
        <w:t>(</w:t>
      </w:r>
      <w:r>
        <w:rPr>
          <w:rFonts w:hint="eastAsia"/>
          <w:color w:val="auto"/>
          <w:highlight w:val="none"/>
        </w:rPr>
        <w:t>财政部令第87号</w:t>
      </w:r>
      <w:r>
        <w:rPr>
          <w:rFonts w:hint="eastAsia"/>
          <w:color w:val="auto"/>
          <w:highlight w:val="none"/>
          <w:lang w:eastAsia="zh-CN"/>
        </w:rPr>
        <w:t>)</w:t>
      </w:r>
      <w:r>
        <w:rPr>
          <w:rFonts w:hint="eastAsia"/>
          <w:color w:val="auto"/>
          <w:highlight w:val="none"/>
        </w:rPr>
        <w:t>第五十一条规定的情形除外；</w:t>
      </w:r>
    </w:p>
    <w:p>
      <w:pPr>
        <w:pStyle w:val="38"/>
        <w:numPr>
          <w:ilvl w:val="1"/>
          <w:numId w:val="38"/>
        </w:numPr>
        <w:bidi w:val="0"/>
        <w:rPr>
          <w:rFonts w:hint="eastAsia"/>
          <w:color w:val="auto"/>
          <w:highlight w:val="none"/>
        </w:rPr>
      </w:pPr>
      <w:r>
        <w:rPr>
          <w:rFonts w:hint="eastAsia"/>
          <w:color w:val="auto"/>
          <w:highlight w:val="none"/>
        </w:rPr>
        <w:t>违反评标纪律发表倾向性意见或者征询采购人的倾向性意见；</w:t>
      </w:r>
    </w:p>
    <w:p>
      <w:pPr>
        <w:pStyle w:val="38"/>
        <w:numPr>
          <w:ilvl w:val="1"/>
          <w:numId w:val="38"/>
        </w:numPr>
        <w:bidi w:val="0"/>
        <w:rPr>
          <w:rFonts w:hint="eastAsia"/>
          <w:color w:val="auto"/>
          <w:highlight w:val="none"/>
        </w:rPr>
      </w:pPr>
      <w:r>
        <w:rPr>
          <w:rFonts w:hint="eastAsia"/>
          <w:color w:val="auto"/>
          <w:highlight w:val="none"/>
        </w:rPr>
        <w:t>对需要专业判断的主观评审因素协商评分；</w:t>
      </w:r>
    </w:p>
    <w:p>
      <w:pPr>
        <w:pStyle w:val="38"/>
        <w:numPr>
          <w:ilvl w:val="1"/>
          <w:numId w:val="38"/>
        </w:numPr>
        <w:bidi w:val="0"/>
        <w:rPr>
          <w:rFonts w:hint="eastAsia"/>
          <w:color w:val="auto"/>
          <w:highlight w:val="none"/>
        </w:rPr>
      </w:pPr>
      <w:r>
        <w:rPr>
          <w:rFonts w:hint="eastAsia"/>
          <w:color w:val="auto"/>
          <w:highlight w:val="none"/>
        </w:rPr>
        <w:t>在评标过程中擅离职守，影响评标程序正常进行的；</w:t>
      </w:r>
    </w:p>
    <w:p>
      <w:pPr>
        <w:pStyle w:val="38"/>
        <w:numPr>
          <w:ilvl w:val="1"/>
          <w:numId w:val="38"/>
        </w:numPr>
        <w:bidi w:val="0"/>
        <w:rPr>
          <w:rFonts w:hint="eastAsia"/>
          <w:color w:val="auto"/>
          <w:highlight w:val="none"/>
        </w:rPr>
      </w:pPr>
      <w:r>
        <w:rPr>
          <w:rFonts w:hint="eastAsia"/>
          <w:color w:val="auto"/>
          <w:highlight w:val="none"/>
        </w:rPr>
        <w:t>记录、复制或者带走任何评标资料；</w:t>
      </w:r>
    </w:p>
    <w:p>
      <w:pPr>
        <w:pStyle w:val="38"/>
        <w:numPr>
          <w:ilvl w:val="1"/>
          <w:numId w:val="38"/>
        </w:numPr>
        <w:bidi w:val="0"/>
        <w:rPr>
          <w:rFonts w:hint="eastAsia"/>
          <w:color w:val="auto"/>
          <w:highlight w:val="none"/>
        </w:rPr>
      </w:pPr>
      <w:r>
        <w:rPr>
          <w:rFonts w:hint="eastAsia"/>
          <w:color w:val="auto"/>
          <w:highlight w:val="none"/>
        </w:rPr>
        <w:t>其他不遵守评标纪律的行为。</w:t>
      </w:r>
    </w:p>
    <w:p>
      <w:pPr>
        <w:pStyle w:val="29"/>
        <w:bidi w:val="0"/>
        <w:rPr>
          <w:rFonts w:hint="eastAsia"/>
          <w:color w:val="auto"/>
          <w:highlight w:val="none"/>
        </w:rPr>
      </w:pPr>
      <w:r>
        <w:rPr>
          <w:rFonts w:hint="eastAsia"/>
          <w:color w:val="auto"/>
          <w:highlight w:val="none"/>
        </w:rPr>
        <w:t>评标委员会成员有前款第一至五项行为之一的，其评审意见无效，并不得获取评审劳务报酬和报销异地评审差旅费。</w:t>
      </w:r>
    </w:p>
    <w:p>
      <w:pPr>
        <w:pStyle w:val="26"/>
        <w:numPr>
          <w:ilvl w:val="1"/>
          <w:numId w:val="11"/>
        </w:numPr>
        <w:bidi w:val="0"/>
        <w:rPr>
          <w:rFonts w:hint="eastAsia"/>
          <w:color w:val="auto"/>
          <w:highlight w:val="none"/>
        </w:rPr>
      </w:pPr>
      <w:bookmarkStart w:id="1204" w:name="_Toc13225"/>
      <w:bookmarkStart w:id="1205" w:name="_Toc2598"/>
      <w:r>
        <w:rPr>
          <w:rFonts w:hint="eastAsia"/>
          <w:color w:val="auto"/>
          <w:highlight w:val="none"/>
          <w:lang w:val="en-US" w:eastAsia="zh-CN"/>
        </w:rPr>
        <w:t>评标委员会及其成员不得有下列违约情形</w:t>
      </w:r>
      <w:bookmarkEnd w:id="1204"/>
      <w:bookmarkEnd w:id="1205"/>
    </w:p>
    <w:p>
      <w:pPr>
        <w:pStyle w:val="38"/>
        <w:numPr>
          <w:ilvl w:val="1"/>
          <w:numId w:val="39"/>
        </w:numPr>
        <w:bidi w:val="0"/>
        <w:rPr>
          <w:rFonts w:hint="eastAsia"/>
          <w:color w:val="auto"/>
          <w:highlight w:val="none"/>
        </w:rPr>
      </w:pPr>
      <w:r>
        <w:rPr>
          <w:rFonts w:hint="eastAsia"/>
          <w:color w:val="auto"/>
          <w:highlight w:val="none"/>
        </w:rPr>
        <w:t>答应参加评审活动后，无正当理由不参加或者迟到，且不及时告知抽取终端工作人员，导致评审活动无法正常进行的；</w:t>
      </w:r>
    </w:p>
    <w:p>
      <w:pPr>
        <w:pStyle w:val="38"/>
        <w:numPr>
          <w:ilvl w:val="1"/>
          <w:numId w:val="39"/>
        </w:numPr>
        <w:bidi w:val="0"/>
        <w:rPr>
          <w:rFonts w:hint="eastAsia"/>
          <w:color w:val="auto"/>
          <w:highlight w:val="none"/>
        </w:rPr>
      </w:pPr>
      <w:r>
        <w:rPr>
          <w:rFonts w:hint="eastAsia"/>
          <w:color w:val="auto"/>
          <w:highlight w:val="none"/>
        </w:rPr>
        <w:t>不遵守评审现场工作纪律的；</w:t>
      </w:r>
    </w:p>
    <w:p>
      <w:pPr>
        <w:pStyle w:val="38"/>
        <w:numPr>
          <w:ilvl w:val="1"/>
          <w:numId w:val="39"/>
        </w:numPr>
        <w:bidi w:val="0"/>
        <w:rPr>
          <w:rFonts w:hint="eastAsia"/>
          <w:color w:val="auto"/>
          <w:highlight w:val="none"/>
        </w:rPr>
      </w:pPr>
      <w:r>
        <w:rPr>
          <w:rFonts w:hint="eastAsia"/>
          <w:color w:val="auto"/>
          <w:highlight w:val="none"/>
        </w:rPr>
        <w:t>明显故意拖延评审时间的；</w:t>
      </w:r>
    </w:p>
    <w:p>
      <w:pPr>
        <w:pStyle w:val="38"/>
        <w:numPr>
          <w:ilvl w:val="1"/>
          <w:numId w:val="39"/>
        </w:numPr>
        <w:bidi w:val="0"/>
        <w:rPr>
          <w:rFonts w:hint="eastAsia"/>
          <w:color w:val="auto"/>
          <w:highlight w:val="none"/>
        </w:rPr>
      </w:pPr>
      <w:r>
        <w:rPr>
          <w:rFonts w:hint="eastAsia"/>
          <w:color w:val="auto"/>
          <w:highlight w:val="none"/>
        </w:rPr>
        <w:t>抄袭其他评审委员会成员的评审意见的；</w:t>
      </w:r>
    </w:p>
    <w:p>
      <w:pPr>
        <w:pStyle w:val="38"/>
        <w:numPr>
          <w:ilvl w:val="1"/>
          <w:numId w:val="39"/>
        </w:numPr>
        <w:bidi w:val="0"/>
        <w:rPr>
          <w:rFonts w:hint="eastAsia"/>
          <w:color w:val="auto"/>
          <w:highlight w:val="none"/>
        </w:rPr>
      </w:pPr>
      <w:r>
        <w:rPr>
          <w:rFonts w:hint="eastAsia"/>
          <w:color w:val="auto"/>
          <w:highlight w:val="none"/>
        </w:rPr>
        <w:t>不按照政府采购法律制度和采购文件的规定进行评审，导致评审过程、评审结果违法违规，情节轻微不构成行政处罚的；</w:t>
      </w:r>
    </w:p>
    <w:p>
      <w:pPr>
        <w:pStyle w:val="38"/>
        <w:numPr>
          <w:ilvl w:val="1"/>
          <w:numId w:val="39"/>
        </w:numPr>
        <w:bidi w:val="0"/>
        <w:rPr>
          <w:rFonts w:hint="eastAsia"/>
          <w:color w:val="auto"/>
          <w:highlight w:val="none"/>
        </w:rPr>
      </w:pPr>
      <w:r>
        <w:rPr>
          <w:rFonts w:hint="eastAsia"/>
          <w:color w:val="auto"/>
          <w:highlight w:val="none"/>
        </w:rPr>
        <w:t>索取高于规定的劳务报酬，或者要求先给付报酬再进行评审，或者因劳务报酬低而拒绝评审、拒绝签署评审报告的；</w:t>
      </w:r>
    </w:p>
    <w:p>
      <w:pPr>
        <w:pStyle w:val="38"/>
        <w:numPr>
          <w:ilvl w:val="1"/>
          <w:numId w:val="39"/>
        </w:numPr>
        <w:bidi w:val="0"/>
        <w:rPr>
          <w:rFonts w:hint="eastAsia"/>
          <w:color w:val="auto"/>
          <w:highlight w:val="none"/>
        </w:rPr>
      </w:pPr>
      <w:r>
        <w:rPr>
          <w:rFonts w:hint="eastAsia"/>
          <w:color w:val="auto"/>
          <w:highlight w:val="none"/>
        </w:rPr>
        <w:t>不按照《四川省政府采购评审专家管理实施办法》的规定记录或者反馈采购人或者采购代理机构的职责履行情况的；</w:t>
      </w:r>
    </w:p>
    <w:p>
      <w:pPr>
        <w:pStyle w:val="38"/>
        <w:numPr>
          <w:ilvl w:val="1"/>
          <w:numId w:val="39"/>
        </w:numPr>
        <w:bidi w:val="0"/>
        <w:rPr>
          <w:rFonts w:hint="eastAsia"/>
          <w:color w:val="auto"/>
          <w:highlight w:val="none"/>
        </w:rPr>
      </w:pPr>
      <w:r>
        <w:rPr>
          <w:rFonts w:hint="eastAsia"/>
          <w:color w:val="auto"/>
          <w:highlight w:val="none"/>
        </w:rPr>
        <w:t>存在其他违反政府采购法规制度，但不构成行政处罚行为的。</w:t>
      </w:r>
    </w:p>
    <w:p>
      <w:pPr>
        <w:pStyle w:val="25"/>
        <w:bidi w:val="0"/>
        <w:rPr>
          <w:rFonts w:hint="eastAsia"/>
          <w:color w:val="auto"/>
          <w:highlight w:val="none"/>
        </w:rPr>
      </w:pPr>
    </w:p>
    <w:p>
      <w:pPr>
        <w:pStyle w:val="24"/>
        <w:numPr>
          <w:ilvl w:val="0"/>
          <w:numId w:val="11"/>
        </w:numPr>
        <w:bidi w:val="0"/>
        <w:rPr>
          <w:rFonts w:hint="eastAsia"/>
          <w:color w:val="auto"/>
          <w:highlight w:val="none"/>
        </w:rPr>
      </w:pPr>
      <w:r>
        <w:rPr>
          <w:rFonts w:hint="eastAsia"/>
          <w:color w:val="auto"/>
          <w:highlight w:val="none"/>
        </w:rPr>
        <w:br w:type="page"/>
      </w:r>
      <w:bookmarkEnd w:id="1199"/>
      <w:bookmarkStart w:id="1206" w:name="_Toc13264"/>
      <w:bookmarkStart w:id="1207" w:name="_Toc18908"/>
      <w:bookmarkStart w:id="1208" w:name="_Toc7547"/>
      <w:bookmarkStart w:id="1209" w:name="_Toc229"/>
      <w:bookmarkStart w:id="1210" w:name="_Toc3659"/>
      <w:r>
        <w:rPr>
          <w:rFonts w:hint="eastAsia"/>
          <w:color w:val="auto"/>
          <w:highlight w:val="none"/>
        </w:rPr>
        <w:t>政府采购合同</w:t>
      </w:r>
      <w:bookmarkEnd w:id="1206"/>
      <w:bookmarkEnd w:id="1207"/>
      <w:bookmarkEnd w:id="1208"/>
      <w:bookmarkEnd w:id="1209"/>
      <w:r>
        <w:rPr>
          <w:rFonts w:hint="eastAsia"/>
          <w:color w:val="auto"/>
          <w:highlight w:val="none"/>
          <w:lang w:val="en-US" w:eastAsia="zh-CN"/>
        </w:rPr>
        <w:t>(参考文本)</w:t>
      </w:r>
      <w:bookmarkEnd w:id="1210"/>
    </w:p>
    <w:p>
      <w:pPr>
        <w:pStyle w:val="25"/>
        <w:bidi w:val="0"/>
        <w:rPr>
          <w:rFonts w:hint="eastAsia"/>
          <w:color w:val="auto"/>
          <w:highlight w:val="none"/>
        </w:rPr>
      </w:pP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合同编号：</w:t>
      </w:r>
      <w:r>
        <w:rPr>
          <w:rFonts w:hint="eastAsia"/>
          <w:color w:val="auto"/>
          <w:highlight w:val="none"/>
          <w:u w:val="single"/>
          <w:lang w:val="en-US" w:eastAsia="zh-CN"/>
        </w:rPr>
        <w:t xml:space="preserve">          </w:t>
      </w:r>
      <w:r>
        <w:rPr>
          <w:rFonts w:hint="eastAsia"/>
          <w:color w:val="auto"/>
          <w:highlight w:val="none"/>
          <w:lang w:val="en-US" w:eastAsia="zh-CN"/>
        </w:rPr>
        <w:t>(</w:t>
      </w:r>
      <w:r>
        <w:rPr>
          <w:rFonts w:hint="eastAsia"/>
          <w:color w:val="auto"/>
          <w:highlight w:val="none"/>
        </w:rPr>
        <w:t>与项目编号一致</w:t>
      </w:r>
      <w:r>
        <w:rPr>
          <w:rFonts w:hint="eastAsia"/>
          <w:color w:val="auto"/>
          <w:highlight w:val="none"/>
          <w:lang w:val="en-US" w:eastAsia="zh-CN"/>
        </w:rPr>
        <w:t>)</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u w:val="single"/>
        </w:rPr>
      </w:pPr>
      <w:r>
        <w:rPr>
          <w:rFonts w:hint="eastAsia"/>
          <w:color w:val="auto"/>
          <w:highlight w:val="none"/>
        </w:rPr>
        <w:t>计划号/备案号：</w:t>
      </w:r>
      <w:r>
        <w:rPr>
          <w:rFonts w:hint="eastAsia"/>
          <w:color w:val="auto"/>
          <w:highlight w:val="none"/>
          <w:u w:val="single"/>
        </w:rPr>
        <w:t xml:space="preserve">                </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u w:val="single"/>
        </w:rPr>
      </w:pPr>
      <w:r>
        <w:rPr>
          <w:rFonts w:hint="eastAsia"/>
          <w:color w:val="auto"/>
          <w:highlight w:val="none"/>
        </w:rPr>
        <w:t>签订地点：</w:t>
      </w:r>
      <w:r>
        <w:rPr>
          <w:rFonts w:hint="eastAsia"/>
          <w:color w:val="auto"/>
          <w:highlight w:val="none"/>
          <w:u w:val="single"/>
        </w:rPr>
        <w:t xml:space="preserve">                     </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u w:val="single"/>
        </w:rPr>
      </w:pPr>
      <w:r>
        <w:rPr>
          <w:rFonts w:hint="eastAsia"/>
          <w:color w:val="auto"/>
          <w:highlight w:val="none"/>
        </w:rPr>
        <w:t>签订时间：</w:t>
      </w:r>
      <w:r>
        <w:rPr>
          <w:rFonts w:hint="eastAsia"/>
          <w:color w:val="auto"/>
          <w:highlight w:val="none"/>
          <w:u w:val="single"/>
        </w:rPr>
        <w:t xml:space="preserve">                     </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u w:val="single"/>
        </w:rPr>
      </w:pPr>
      <w:r>
        <w:rPr>
          <w:rFonts w:hint="eastAsia"/>
          <w:color w:val="auto"/>
          <w:highlight w:val="none"/>
        </w:rPr>
        <w:t>采购人名称(甲方)：</w:t>
      </w:r>
      <w:r>
        <w:rPr>
          <w:rFonts w:hint="eastAsia"/>
          <w:color w:val="auto"/>
          <w:highlight w:val="none"/>
          <w:u w:val="single"/>
        </w:rPr>
        <w:t xml:space="preserve">                              </w:t>
      </w:r>
    </w:p>
    <w:p>
      <w:pPr>
        <w:pStyle w:val="25"/>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u w:val="single"/>
        </w:rPr>
      </w:pPr>
      <w:r>
        <w:rPr>
          <w:rFonts w:hint="eastAsia"/>
          <w:color w:val="auto"/>
          <w:highlight w:val="none"/>
        </w:rPr>
        <w:t>中标</w:t>
      </w:r>
      <w:r>
        <w:rPr>
          <w:rFonts w:hint="eastAsia"/>
          <w:color w:val="auto"/>
          <w:highlight w:val="none"/>
          <w:lang w:val="en-US" w:eastAsia="zh-CN"/>
        </w:rPr>
        <w:t>人</w:t>
      </w:r>
      <w:r>
        <w:rPr>
          <w:rFonts w:hint="eastAsia"/>
          <w:color w:val="auto"/>
          <w:highlight w:val="none"/>
        </w:rPr>
        <w:t>名称(乙方)：</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25"/>
        <w:bidi w:val="0"/>
        <w:rPr>
          <w:rFonts w:hint="eastAsia"/>
          <w:color w:val="auto"/>
          <w:highlight w:val="none"/>
        </w:rPr>
      </w:pPr>
    </w:p>
    <w:p>
      <w:pPr>
        <w:pStyle w:val="25"/>
        <w:ind w:firstLine="480" w:firstLineChars="200"/>
        <w:rPr>
          <w:rFonts w:cs="宋体"/>
          <w:color w:val="auto"/>
          <w:highlight w:val="none"/>
        </w:rPr>
      </w:pPr>
      <w:r>
        <w:rPr>
          <w:rFonts w:hint="eastAsia" w:cs="宋体"/>
          <w:color w:val="auto"/>
          <w:highlight w:val="none"/>
        </w:rPr>
        <w:t>根据《中华人民共和国民法典》、《中华人民共和国政府采购法》、《中华人民共和国政府采购法实施条例》、《政府采购货物和服务招标投标管理办法》(财政部令第87号)及(成都市技师学院BIM技术综合实训室项目建设设备采购项目)(项目编号：(采购项目的编号))的《招标文件》、乙方的《投标文件》及《中标通知书》，甲、乙双方同意签订本合同</w:t>
      </w:r>
      <w:r>
        <w:rPr>
          <w:rFonts w:hint="eastAsia" w:cs="宋体"/>
          <w:color w:val="auto"/>
          <w:highlight w:val="none"/>
          <w:lang w:eastAsia="zh-CN"/>
        </w:rPr>
        <w:t>，</w:t>
      </w:r>
      <w:r>
        <w:rPr>
          <w:rFonts w:hint="eastAsia" w:cs="宋体"/>
          <w:color w:val="auto"/>
          <w:highlight w:val="none"/>
        </w:rPr>
        <w:t>双方同意共同遵守如下条款：</w:t>
      </w:r>
    </w:p>
    <w:p>
      <w:pPr>
        <w:widowControl w:val="0"/>
        <w:numPr>
          <w:ilvl w:val="1"/>
          <w:numId w:val="40"/>
        </w:numPr>
        <w:wordWrap w:val="0"/>
        <w:topLinePunct/>
        <w:adjustRightInd w:val="0"/>
        <w:snapToGrid w:val="0"/>
        <w:spacing w:line="440" w:lineRule="exact"/>
        <w:ind w:left="0" w:firstLine="482" w:firstLineChars="200"/>
        <w:jc w:val="left"/>
        <w:outlineLvl w:val="1"/>
        <w:rPr>
          <w:rFonts w:ascii="宋体" w:hAnsi="宋体" w:eastAsia="宋体" w:cs="宋体"/>
          <w:b/>
          <w:bCs/>
          <w:color w:val="auto"/>
          <w:kern w:val="2"/>
          <w:sz w:val="24"/>
          <w:szCs w:val="24"/>
          <w:highlight w:val="none"/>
          <w:lang w:val="en-US" w:eastAsia="zh-CN" w:bidi="ar-SA"/>
        </w:rPr>
      </w:pPr>
      <w:bookmarkStart w:id="1211" w:name="_Toc575"/>
      <w:bookmarkStart w:id="1212" w:name="_Toc20353"/>
      <w:bookmarkStart w:id="1213" w:name="_Toc217446107"/>
      <w:bookmarkStart w:id="1214" w:name="_Toc29921"/>
      <w:bookmarkStart w:id="1215" w:name="_Toc14176"/>
      <w:bookmarkStart w:id="1216" w:name="_Toc7893"/>
      <w:bookmarkStart w:id="1217" w:name="_Toc15652"/>
      <w:bookmarkStart w:id="1218" w:name="_Toc12699"/>
      <w:bookmarkStart w:id="1219" w:name="_Toc28607"/>
      <w:bookmarkStart w:id="1220" w:name="_Toc984"/>
      <w:r>
        <w:rPr>
          <w:rFonts w:hint="eastAsia" w:ascii="宋体" w:hAnsi="宋体" w:eastAsia="宋体" w:cs="宋体"/>
          <w:b/>
          <w:bCs/>
          <w:color w:val="auto"/>
          <w:kern w:val="2"/>
          <w:sz w:val="24"/>
          <w:szCs w:val="24"/>
          <w:highlight w:val="none"/>
          <w:lang w:val="en-US" w:eastAsia="zh-CN" w:bidi="ar-SA"/>
        </w:rPr>
        <w:t>合同标的</w:t>
      </w:r>
      <w:bookmarkEnd w:id="1211"/>
      <w:bookmarkEnd w:id="1212"/>
      <w:bookmarkEnd w:id="1213"/>
      <w:bookmarkEnd w:id="1214"/>
      <w:bookmarkEnd w:id="1215"/>
      <w:bookmarkEnd w:id="1216"/>
      <w:bookmarkEnd w:id="1217"/>
      <w:bookmarkEnd w:id="1218"/>
      <w:bookmarkEnd w:id="1219"/>
      <w:bookmarkEnd w:id="1220"/>
    </w:p>
    <w:tbl>
      <w:tblPr>
        <w:tblStyle w:val="18"/>
        <w:tblW w:w="99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1"/>
        <w:gridCol w:w="1189"/>
        <w:gridCol w:w="885"/>
        <w:gridCol w:w="715"/>
        <w:gridCol w:w="889"/>
        <w:gridCol w:w="1070"/>
        <w:gridCol w:w="1173"/>
        <w:gridCol w:w="1248"/>
        <w:gridCol w:w="1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货物品名</w:t>
            </w: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(制造商)品牌</w:t>
            </w: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总价</w:t>
            </w:r>
          </w:p>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随机</w:t>
            </w:r>
          </w:p>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配件</w:t>
            </w: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履约时间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561"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pStyle w:val="49"/>
              <w:rPr>
                <w:rFonts w:hint="eastAsia" w:ascii="宋体" w:hAnsi="宋体" w:eastAsia="宋体" w:cs="宋体"/>
                <w:color w:val="auto"/>
                <w:sz w:val="21"/>
                <w:szCs w:val="21"/>
                <w:highlight w:val="none"/>
              </w:rPr>
            </w:pPr>
          </w:p>
        </w:tc>
      </w:tr>
    </w:tbl>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21" w:name="_Toc15734"/>
      <w:bookmarkStart w:id="1222" w:name="_Toc22308"/>
      <w:bookmarkStart w:id="1223" w:name="_Toc217446108"/>
      <w:bookmarkStart w:id="1224" w:name="_Toc2729"/>
      <w:bookmarkStart w:id="1225" w:name="_Toc9037"/>
      <w:bookmarkStart w:id="1226" w:name="_Toc7899"/>
      <w:bookmarkStart w:id="1227" w:name="_Toc15609"/>
      <w:bookmarkStart w:id="1228" w:name="_Toc31626"/>
      <w:bookmarkStart w:id="1229" w:name="_Toc22148"/>
      <w:bookmarkStart w:id="1230" w:name="_Toc8483"/>
      <w:r>
        <w:rPr>
          <w:rFonts w:hint="eastAsia" w:ascii="宋体" w:hAnsi="宋体" w:eastAsia="宋体" w:cs="宋体"/>
          <w:b/>
          <w:bCs/>
          <w:color w:val="auto"/>
          <w:kern w:val="2"/>
          <w:sz w:val="24"/>
          <w:szCs w:val="24"/>
          <w:highlight w:val="none"/>
          <w:lang w:val="en-US" w:eastAsia="zh-CN" w:bidi="ar-SA"/>
        </w:rPr>
        <w:t>合同</w:t>
      </w:r>
      <w:bookmarkEnd w:id="1221"/>
      <w:bookmarkEnd w:id="1222"/>
      <w:bookmarkEnd w:id="1223"/>
      <w:bookmarkEnd w:id="1224"/>
      <w:r>
        <w:rPr>
          <w:rFonts w:hint="eastAsia" w:ascii="宋体" w:hAnsi="宋体" w:eastAsia="宋体" w:cs="宋体"/>
          <w:b/>
          <w:bCs/>
          <w:color w:val="auto"/>
          <w:kern w:val="2"/>
          <w:sz w:val="24"/>
          <w:szCs w:val="24"/>
          <w:highlight w:val="none"/>
          <w:lang w:val="en-US" w:eastAsia="zh-CN" w:bidi="ar-SA"/>
        </w:rPr>
        <w:t>价款</w:t>
      </w:r>
      <w:bookmarkEnd w:id="1225"/>
      <w:bookmarkEnd w:id="1226"/>
      <w:bookmarkEnd w:id="1227"/>
      <w:bookmarkEnd w:id="1228"/>
      <w:bookmarkEnd w:id="1229"/>
      <w:bookmarkEnd w:id="1230"/>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合同总价为人民币大写：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元，即RMB</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元；该合同总价已包括货物设计、材料、制造、包装、运输、安装、调试、检测、质保期内保修服务</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备用物件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税费等</w:t>
      </w:r>
      <w:r>
        <w:rPr>
          <w:rFonts w:hint="eastAsia" w:ascii="宋体" w:hAnsi="宋体" w:eastAsia="宋体" w:cs="宋体"/>
          <w:color w:val="auto"/>
          <w:highlight w:val="none"/>
          <w:lang w:val="en-US" w:eastAsia="zh-CN"/>
        </w:rPr>
        <w:t>完成本项目所需的一切费用</w:t>
      </w:r>
      <w:r>
        <w:rPr>
          <w:rFonts w:hint="eastAsia" w:ascii="宋体" w:hAnsi="宋体" w:eastAsia="宋体" w:cs="宋体"/>
          <w:color w:val="auto"/>
          <w:highlight w:val="none"/>
        </w:rPr>
        <w:t>。本合同执行期间合同总价不变，甲方无须另向乙方支付本合同规定之外的其他任何费用。</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31" w:name="_Toc30015"/>
      <w:bookmarkStart w:id="1232" w:name="_Toc13646"/>
      <w:bookmarkStart w:id="1233" w:name="_Toc11736"/>
      <w:bookmarkStart w:id="1234" w:name="_Toc16183"/>
      <w:bookmarkStart w:id="1235" w:name="_Toc9143"/>
      <w:bookmarkStart w:id="1236" w:name="_Toc16934"/>
      <w:bookmarkStart w:id="1237" w:name="_Toc217446109"/>
      <w:bookmarkStart w:id="1238" w:name="_Toc3272"/>
      <w:bookmarkStart w:id="1239" w:name="_Toc8140"/>
      <w:bookmarkStart w:id="1240" w:name="_Toc7853"/>
      <w:r>
        <w:rPr>
          <w:rFonts w:hint="eastAsia" w:ascii="宋体" w:hAnsi="宋体" w:eastAsia="宋体" w:cs="宋体"/>
          <w:b/>
          <w:bCs/>
          <w:color w:val="auto"/>
          <w:kern w:val="2"/>
          <w:sz w:val="24"/>
          <w:szCs w:val="24"/>
          <w:highlight w:val="none"/>
          <w:lang w:val="en-US" w:eastAsia="zh-CN" w:bidi="ar-SA"/>
        </w:rPr>
        <w:t>包装、运输、质量要求</w:t>
      </w:r>
      <w:bookmarkEnd w:id="1231"/>
      <w:bookmarkEnd w:id="1232"/>
      <w:bookmarkEnd w:id="1233"/>
      <w:bookmarkEnd w:id="1234"/>
      <w:bookmarkEnd w:id="1235"/>
      <w:bookmarkEnd w:id="1236"/>
      <w:bookmarkEnd w:id="1237"/>
      <w:bookmarkEnd w:id="1238"/>
      <w:bookmarkEnd w:id="1239"/>
      <w:bookmarkEnd w:id="1240"/>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乙方为本项目实施涉及的商品包装和快递包装，均符合财政部等三部门联合印发商品包装和快递包装政府采购需求标准（试行）（财办库[2020]123号）的要求。</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乙方须提供全新、未拆封、未使用过的原装合格正品的货物(含零部件、配件、使用说明书等)，表面无划伤、无碰撞痕迹，且权属清楚，不得侵害他人的知识产权。</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bCs/>
          <w:color w:val="auto"/>
          <w:highlight w:val="none"/>
        </w:rPr>
        <w:t>提供的货物必须符合国家(行业)标准，以及本项目招标文件规定的质量、规格和性能的要求。如果</w:t>
      </w:r>
      <w:r>
        <w:rPr>
          <w:rFonts w:hint="eastAsia" w:ascii="宋体" w:hAnsi="宋体" w:eastAsia="宋体" w:cs="宋体"/>
          <w:color w:val="auto"/>
          <w:highlight w:val="none"/>
        </w:rPr>
        <w:t>乙方</w:t>
      </w:r>
      <w:r>
        <w:rPr>
          <w:rFonts w:hint="eastAsia" w:ascii="宋体" w:hAnsi="宋体" w:eastAsia="宋体" w:cs="宋体"/>
          <w:bCs/>
          <w:color w:val="auto"/>
          <w:highlight w:val="none"/>
        </w:rPr>
        <w:t>提供的产品的质量或规格或性能与招标文件和</w:t>
      </w:r>
      <w:r>
        <w:rPr>
          <w:rFonts w:hint="eastAsia" w:ascii="宋体" w:hAnsi="宋体" w:eastAsia="宋体" w:cs="宋体"/>
          <w:color w:val="auto"/>
          <w:highlight w:val="none"/>
        </w:rPr>
        <w:t>乙方</w:t>
      </w:r>
      <w:r>
        <w:rPr>
          <w:rFonts w:hint="eastAsia" w:ascii="宋体" w:hAnsi="宋体" w:eastAsia="宋体" w:cs="宋体"/>
          <w:bCs/>
          <w:color w:val="auto"/>
          <w:highlight w:val="none"/>
        </w:rPr>
        <w:t>的投标文件不符，或证实产品是有缺陷的，包括潜在的缺陷或使用不符合要求的产品等，</w:t>
      </w:r>
      <w:r>
        <w:rPr>
          <w:rFonts w:hint="eastAsia" w:ascii="宋体" w:hAnsi="宋体" w:eastAsia="宋体" w:cs="宋体"/>
          <w:color w:val="auto"/>
          <w:highlight w:val="none"/>
        </w:rPr>
        <w:t>乙方</w:t>
      </w:r>
      <w:r>
        <w:rPr>
          <w:rFonts w:hint="eastAsia" w:ascii="宋体" w:hAnsi="宋体" w:eastAsia="宋体" w:cs="宋体"/>
          <w:bCs/>
          <w:color w:val="auto"/>
          <w:highlight w:val="none"/>
        </w:rPr>
        <w:t>应在接到甲方书面通知后5日历天内完成换货，因换货产生的费用由</w:t>
      </w:r>
      <w:r>
        <w:rPr>
          <w:rFonts w:hint="eastAsia" w:ascii="宋体" w:hAnsi="宋体" w:eastAsia="宋体" w:cs="宋体"/>
          <w:color w:val="auto"/>
          <w:highlight w:val="none"/>
        </w:rPr>
        <w:t>乙方</w:t>
      </w:r>
      <w:r>
        <w:rPr>
          <w:rFonts w:hint="eastAsia" w:ascii="宋体" w:hAnsi="宋体" w:eastAsia="宋体" w:cs="宋体"/>
          <w:bCs/>
          <w:color w:val="auto"/>
          <w:highlight w:val="none"/>
        </w:rPr>
        <w:t>承担，如因不合格产品给甲方造成损失，</w:t>
      </w:r>
      <w:r>
        <w:rPr>
          <w:rFonts w:hint="eastAsia" w:ascii="宋体" w:hAnsi="宋体" w:eastAsia="宋体" w:cs="宋体"/>
          <w:color w:val="auto"/>
          <w:highlight w:val="none"/>
        </w:rPr>
        <w:t>乙方</w:t>
      </w:r>
      <w:r>
        <w:rPr>
          <w:rFonts w:hint="eastAsia" w:ascii="宋体" w:hAnsi="宋体" w:eastAsia="宋体" w:cs="宋体"/>
          <w:bCs/>
          <w:color w:val="auto"/>
          <w:highlight w:val="none"/>
        </w:rPr>
        <w:t>还应承担赔偿责任。产品因质量问题产生的纠纷等均由乙方负全部经济和法律责任。</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乙方</w:t>
      </w:r>
      <w:r>
        <w:rPr>
          <w:rFonts w:hint="eastAsia" w:ascii="宋体" w:hAnsi="宋体" w:eastAsia="宋体" w:cs="宋体"/>
          <w:bCs/>
          <w:color w:val="auto"/>
          <w:highlight w:val="none"/>
        </w:rPr>
        <w:t>提供的全部货物均应按标准保护措施进行包装。该包装应适应于远距离运输、防潮、防震、防锈和防野蛮装卸，以确保货物安全无损运抵指定地点。由于包装不善所引起的货物损失均由</w:t>
      </w:r>
      <w:r>
        <w:rPr>
          <w:rFonts w:hint="eastAsia" w:ascii="宋体" w:hAnsi="宋体" w:eastAsia="宋体" w:cs="宋体"/>
          <w:color w:val="auto"/>
          <w:highlight w:val="none"/>
        </w:rPr>
        <w:t>乙方</w:t>
      </w:r>
      <w:r>
        <w:rPr>
          <w:rFonts w:hint="eastAsia" w:ascii="宋体" w:hAnsi="宋体" w:eastAsia="宋体" w:cs="宋体"/>
          <w:bCs/>
          <w:color w:val="auto"/>
          <w:highlight w:val="none"/>
        </w:rPr>
        <w:t>承担，每一包装单元内应附详细的装箱单和质量合格凭证。</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货物制造质量出现问题，乙方应负责三包(包修、包换、包退)，费用由乙方负担。</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货到现场后由于甲方保管不当造成的质量问题，乙方亦应负责修理，但费用由甲方负担。</w:t>
      </w:r>
    </w:p>
    <w:p>
      <w:pPr>
        <w:pStyle w:val="38"/>
        <w:keepNext w:val="0"/>
        <w:keepLines w:val="0"/>
        <w:pageBreakBefore w:val="0"/>
        <w:widowControl w:val="0"/>
        <w:numPr>
          <w:ilvl w:val="1"/>
          <w:numId w:val="4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整体质保期限为3年，货物类质保期内乙方提供免费上门保修服务、软件系统类乙方提供免费上门保修服务和升级服务，质保期的起始日期为现场验收合格之日起开始计算</w:t>
      </w:r>
      <w:r>
        <w:rPr>
          <w:rFonts w:hint="eastAsia" w:ascii="宋体" w:hAnsi="宋体" w:eastAsia="宋体" w:cs="宋体"/>
          <w:color w:val="auto"/>
          <w:highlight w:val="none"/>
        </w:rPr>
        <w:t>。</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41" w:name="_Toc28775"/>
      <w:bookmarkStart w:id="1242" w:name="_Toc32432"/>
      <w:r>
        <w:rPr>
          <w:rFonts w:hint="eastAsia" w:ascii="宋体" w:hAnsi="宋体" w:eastAsia="宋体" w:cs="宋体"/>
          <w:b/>
          <w:bCs/>
          <w:color w:val="auto"/>
          <w:kern w:val="2"/>
          <w:sz w:val="24"/>
          <w:szCs w:val="24"/>
          <w:highlight w:val="none"/>
          <w:lang w:val="en-US" w:eastAsia="zh-CN" w:bidi="ar-SA"/>
        </w:rPr>
        <w:t>安装调试要求</w:t>
      </w:r>
      <w:bookmarkEnd w:id="1241"/>
      <w:bookmarkEnd w:id="1242"/>
    </w:p>
    <w:p>
      <w:pPr>
        <w:pStyle w:val="38"/>
        <w:keepNext w:val="0"/>
        <w:keepLines w:val="0"/>
        <w:pageBreakBefore w:val="0"/>
        <w:widowControl w:val="0"/>
        <w:numPr>
          <w:ilvl w:val="1"/>
          <w:numId w:val="42"/>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snapToGrid/>
          <w:color w:val="auto"/>
          <w:highlight w:val="none"/>
        </w:rPr>
        <w:t xml:space="preserve">应制定详细的项目实施方案，包含项目分析、进度控制措施(运输、存放、到货、安装、调试、验收、培训)、质量保证措施(产品、项目经理、施工团队、功能测试、安全文明管理、事故应急措施)等实施方案。 </w:t>
      </w:r>
      <w:r>
        <w:rPr>
          <w:rFonts w:hint="eastAsia" w:ascii="宋体" w:hAnsi="宋体" w:eastAsia="宋体" w:cs="宋体"/>
          <w:color w:val="auto"/>
          <w:highlight w:val="none"/>
        </w:rPr>
        <w:t>乙方</w:t>
      </w:r>
      <w:r>
        <w:rPr>
          <w:rFonts w:hint="eastAsia" w:ascii="宋体" w:hAnsi="宋体" w:eastAsia="宋体" w:cs="宋体"/>
          <w:snapToGrid/>
          <w:color w:val="auto"/>
          <w:highlight w:val="none"/>
        </w:rPr>
        <w:t>将设备送达学校甲方指定地点后按甲方确定的方案进行安装、调试、培训等工作。</w:t>
      </w:r>
    </w:p>
    <w:p>
      <w:pPr>
        <w:pStyle w:val="38"/>
        <w:keepNext w:val="0"/>
        <w:keepLines w:val="0"/>
        <w:pageBreakBefore w:val="0"/>
        <w:widowControl w:val="0"/>
        <w:numPr>
          <w:ilvl w:val="1"/>
          <w:numId w:val="42"/>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snapToGrid/>
          <w:color w:val="auto"/>
          <w:highlight w:val="none"/>
        </w:rPr>
        <w:t>保证严格按照国家相关规范进行安装和调试。</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43" w:name="_Toc24606"/>
      <w:bookmarkStart w:id="1244" w:name="_Toc25341"/>
      <w:bookmarkStart w:id="1245" w:name="_Toc6425"/>
      <w:bookmarkStart w:id="1246" w:name="_Toc217446110"/>
      <w:bookmarkStart w:id="1247" w:name="_Toc16918"/>
      <w:bookmarkStart w:id="1248" w:name="_Toc4208"/>
      <w:bookmarkStart w:id="1249" w:name="_Toc910"/>
      <w:bookmarkStart w:id="1250" w:name="_Toc23315"/>
      <w:bookmarkStart w:id="1251" w:name="_Toc14046"/>
      <w:bookmarkStart w:id="1252" w:name="_Toc26607"/>
      <w:r>
        <w:rPr>
          <w:rFonts w:hint="eastAsia" w:ascii="宋体" w:hAnsi="宋体" w:eastAsia="宋体" w:cs="宋体"/>
          <w:b/>
          <w:bCs/>
          <w:color w:val="auto"/>
          <w:kern w:val="2"/>
          <w:sz w:val="24"/>
          <w:szCs w:val="24"/>
          <w:highlight w:val="none"/>
          <w:lang w:val="en-US" w:eastAsia="zh-CN" w:bidi="ar-SA"/>
        </w:rPr>
        <w:t>履行期限及地点和方式、验收</w:t>
      </w:r>
      <w:bookmarkEnd w:id="1243"/>
      <w:bookmarkEnd w:id="1244"/>
      <w:bookmarkEnd w:id="1245"/>
      <w:bookmarkEnd w:id="1246"/>
      <w:bookmarkEnd w:id="1247"/>
      <w:bookmarkEnd w:id="1248"/>
      <w:bookmarkEnd w:id="1249"/>
      <w:bookmarkEnd w:id="1250"/>
      <w:bookmarkEnd w:id="1251"/>
      <w:bookmarkEnd w:id="1252"/>
    </w:p>
    <w:p>
      <w:pPr>
        <w:pStyle w:val="38"/>
        <w:keepNext w:val="0"/>
        <w:keepLines w:val="0"/>
        <w:pageBreakBefore w:val="0"/>
        <w:widowControl w:val="0"/>
        <w:numPr>
          <w:ilvl w:val="1"/>
          <w:numId w:val="43"/>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履行期限和方式</w:t>
      </w:r>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乙方交货期限为合同签订之日起70日历天内完成设备（含软件等）的送货、安装、调试、试运行等工作。</w:t>
      </w:r>
    </w:p>
    <w:p>
      <w:pPr>
        <w:pStyle w:val="38"/>
        <w:keepNext w:val="0"/>
        <w:keepLines w:val="0"/>
        <w:pageBreakBefore w:val="0"/>
        <w:widowControl w:val="0"/>
        <w:numPr>
          <w:ilvl w:val="1"/>
          <w:numId w:val="43"/>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履行地点：成都市郫都区红光镇港通北三路1899</w:t>
      </w:r>
    </w:p>
    <w:p>
      <w:pPr>
        <w:pStyle w:val="38"/>
        <w:keepNext w:val="0"/>
        <w:keepLines w:val="0"/>
        <w:pageBreakBefore w:val="0"/>
        <w:widowControl w:val="0"/>
        <w:numPr>
          <w:ilvl w:val="1"/>
          <w:numId w:val="43"/>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验收要求</w:t>
      </w:r>
    </w:p>
    <w:p>
      <w:pPr>
        <w:pStyle w:val="29"/>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验收由甲方组织，乙方配合进行。</w:t>
      </w:r>
    </w:p>
    <w:p>
      <w:pPr>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jc w:val="left"/>
        <w:textAlignment w:val="auto"/>
        <w:outlineLvl w:val="9"/>
        <w:rPr>
          <w:rFonts w:hint="eastAsia" w:ascii="宋体" w:hAnsi="宋体" w:eastAsia="宋体" w:cs="宋体"/>
          <w:b w:val="0"/>
          <w:bCs w:val="0"/>
          <w:snapToGrid w:val="0"/>
          <w:color w:val="auto"/>
          <w:kern w:val="2"/>
          <w:sz w:val="24"/>
          <w:szCs w:val="24"/>
          <w:highlight w:val="none"/>
          <w:lang w:val="en-US" w:eastAsia="zh-CN" w:bidi="ar-SA"/>
        </w:rPr>
      </w:pPr>
      <w:bookmarkStart w:id="1253" w:name="_Toc1638"/>
      <w:bookmarkStart w:id="1254" w:name="_Toc22638"/>
      <w:bookmarkStart w:id="1255" w:name="_Toc27152"/>
      <w:bookmarkStart w:id="1256" w:name="_Toc13487"/>
      <w:bookmarkStart w:id="1257" w:name="_Toc217446111"/>
      <w:bookmarkStart w:id="1258" w:name="_Toc24040"/>
      <w:bookmarkStart w:id="1259" w:name="_Toc12397"/>
      <w:bookmarkStart w:id="1260" w:name="_Toc30836"/>
      <w:bookmarkStart w:id="1261" w:name="_Toc23384"/>
      <w:r>
        <w:rPr>
          <w:rFonts w:hint="eastAsia" w:ascii="宋体" w:hAnsi="宋体" w:eastAsia="宋体" w:cs="宋体"/>
          <w:b w:val="0"/>
          <w:bCs w:val="0"/>
          <w:snapToGrid w:val="0"/>
          <w:color w:val="auto"/>
          <w:kern w:val="2"/>
          <w:sz w:val="24"/>
          <w:szCs w:val="24"/>
          <w:highlight w:val="none"/>
          <w:lang w:val="en-US" w:eastAsia="zh-CN" w:bidi="ar-SA"/>
        </w:rPr>
        <w:t>1.乙方完成供货安装调试完毕后，书面通知甲方验收。甲方接到项目初步验收书面通知后10个日历天内组织初步验收；初步验收合格后，进入试运行，试运行期为30日历天，试运行期间发生一般性质量问题，修复后试用期相应顺延，试运行结束后，且经甲方最终验收合格后，签署《验收报告单》；验收不合格，乙方应在甲方限定的时间内整改后重新验收。再次验收不合格则视为乙方违约，乙方并承担相应的违约责任。</w:t>
      </w:r>
      <w:bookmarkEnd w:id="1253"/>
    </w:p>
    <w:p>
      <w:pPr>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jc w:val="left"/>
        <w:textAlignment w:val="auto"/>
        <w:outlineLvl w:val="9"/>
        <w:rPr>
          <w:rFonts w:hint="eastAsia" w:ascii="宋体" w:hAnsi="宋体" w:eastAsia="宋体" w:cs="宋体"/>
          <w:b w:val="0"/>
          <w:bCs w:val="0"/>
          <w:snapToGrid w:val="0"/>
          <w:color w:val="auto"/>
          <w:kern w:val="2"/>
          <w:sz w:val="24"/>
          <w:szCs w:val="24"/>
          <w:highlight w:val="none"/>
          <w:lang w:val="en-US" w:eastAsia="zh-CN" w:bidi="ar-SA"/>
        </w:rPr>
      </w:pPr>
      <w:bookmarkStart w:id="1262" w:name="_Toc6366"/>
      <w:r>
        <w:rPr>
          <w:rFonts w:hint="eastAsia" w:ascii="宋体" w:hAnsi="宋体" w:eastAsia="宋体" w:cs="宋体"/>
          <w:b w:val="0"/>
          <w:bCs w:val="0"/>
          <w:snapToGrid w:val="0"/>
          <w:color w:val="auto"/>
          <w:kern w:val="2"/>
          <w:sz w:val="24"/>
          <w:szCs w:val="24"/>
          <w:highlight w:val="none"/>
          <w:lang w:val="en-US" w:eastAsia="zh-CN" w:bidi="ar-SA"/>
        </w:rPr>
        <w:t>2. 验收标准：按甲方招标文件的质量要求和技术指标、乙方的投标文件及承诺与本合同约定标准进行验收</w:t>
      </w:r>
      <w:bookmarkEnd w:id="1262"/>
    </w:p>
    <w:p>
      <w:pPr>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jc w:val="left"/>
        <w:textAlignment w:val="auto"/>
        <w:outlineLvl w:val="9"/>
        <w:rPr>
          <w:rFonts w:hint="eastAsia" w:ascii="宋体" w:hAnsi="宋体" w:eastAsia="宋体" w:cs="宋体"/>
          <w:b w:val="0"/>
          <w:bCs w:val="0"/>
          <w:snapToGrid w:val="0"/>
          <w:color w:val="auto"/>
          <w:kern w:val="2"/>
          <w:sz w:val="24"/>
          <w:szCs w:val="24"/>
          <w:highlight w:val="none"/>
          <w:lang w:val="en-US" w:eastAsia="zh-CN" w:bidi="ar-SA"/>
        </w:rPr>
      </w:pPr>
      <w:bookmarkStart w:id="1263" w:name="_Toc25481"/>
      <w:r>
        <w:rPr>
          <w:rFonts w:hint="eastAsia" w:ascii="宋体" w:hAnsi="宋体" w:eastAsia="宋体" w:cs="宋体"/>
          <w:b w:val="0"/>
          <w:bCs w:val="0"/>
          <w:snapToGrid w:val="0"/>
          <w:color w:val="auto"/>
          <w:kern w:val="2"/>
          <w:sz w:val="24"/>
          <w:szCs w:val="24"/>
          <w:highlight w:val="none"/>
          <w:lang w:val="en-US" w:eastAsia="zh-CN" w:bidi="ar-SA"/>
        </w:rPr>
        <w:t>3.乙方应将所提供货物的装箱清单、配件、随机工具、用户使用手册、原厂保修卡等资料交付给甲方；乙方不能完整交付货物及本款规定的单证和工具的，负责补齐，否则视为未按合同约定交货。</w:t>
      </w:r>
      <w:bookmarkEnd w:id="1263"/>
    </w:p>
    <w:p>
      <w:pPr>
        <w:keepNext w:val="0"/>
        <w:keepLines w:val="0"/>
        <w:pageBreakBefore w:val="0"/>
        <w:widowControl w:val="0"/>
        <w:numPr>
          <w:ilvl w:val="1"/>
          <w:numId w:val="0"/>
        </w:numPr>
        <w:kinsoku/>
        <w:wordWrap w:val="0"/>
        <w:overflowPunct/>
        <w:topLinePunct/>
        <w:autoSpaceDE/>
        <w:autoSpaceDN/>
        <w:bidi w:val="0"/>
        <w:adjustRightInd w:val="0"/>
        <w:snapToGrid w:val="0"/>
        <w:spacing w:line="440" w:lineRule="exact"/>
        <w:ind w:left="0" w:leftChars="0" w:firstLine="480" w:firstLineChars="200"/>
        <w:jc w:val="left"/>
        <w:textAlignment w:val="auto"/>
        <w:outlineLvl w:val="9"/>
        <w:rPr>
          <w:rFonts w:hint="eastAsia" w:ascii="宋体" w:hAnsi="宋体" w:eastAsia="宋体" w:cs="宋体"/>
          <w:b w:val="0"/>
          <w:bCs w:val="0"/>
          <w:snapToGrid w:val="0"/>
          <w:color w:val="auto"/>
          <w:kern w:val="2"/>
          <w:sz w:val="24"/>
          <w:szCs w:val="24"/>
          <w:highlight w:val="none"/>
          <w:lang w:val="en-US" w:eastAsia="zh-CN" w:bidi="ar-SA"/>
        </w:rPr>
      </w:pPr>
      <w:bookmarkStart w:id="1264" w:name="_Toc23106"/>
      <w:r>
        <w:rPr>
          <w:rFonts w:hint="eastAsia" w:ascii="宋体" w:hAnsi="宋体" w:eastAsia="宋体" w:cs="宋体"/>
          <w:b w:val="0"/>
          <w:bCs w:val="0"/>
          <w:snapToGrid w:val="0"/>
          <w:color w:val="auto"/>
          <w:kern w:val="2"/>
          <w:sz w:val="24"/>
          <w:szCs w:val="24"/>
          <w:highlight w:val="none"/>
          <w:lang w:val="en-US" w:eastAsia="zh-CN" w:bidi="ar-SA"/>
        </w:rPr>
        <w:t>4.其他未尽事宜</w:t>
      </w:r>
      <w:r>
        <w:rPr>
          <w:rFonts w:hint="eastAsia" w:cs="宋体"/>
          <w:b w:val="0"/>
          <w:bCs w:val="0"/>
          <w:snapToGrid w:val="0"/>
          <w:color w:val="auto"/>
          <w:kern w:val="2"/>
          <w:sz w:val="24"/>
          <w:szCs w:val="24"/>
          <w:highlight w:val="none"/>
          <w:lang w:val="en-US" w:eastAsia="zh-CN" w:bidi="ar-SA"/>
        </w:rPr>
        <w:t>将按</w:t>
      </w:r>
      <w:r>
        <w:rPr>
          <w:rFonts w:hint="eastAsia" w:ascii="宋体" w:hAnsi="宋体" w:eastAsia="宋体" w:cs="宋体"/>
          <w:b w:val="0"/>
          <w:bCs w:val="0"/>
          <w:snapToGrid w:val="0"/>
          <w:color w:val="auto"/>
          <w:kern w:val="2"/>
          <w:sz w:val="24"/>
          <w:szCs w:val="24"/>
          <w:highlight w:val="none"/>
          <w:lang w:val="en-US" w:eastAsia="zh-CN" w:bidi="ar-SA"/>
        </w:rPr>
        <w:t>照《财政部关于进一步加强政府采购需求和履约验收管理的指导意见》(财库〔2016〕205 号)的要求进行验收。</w:t>
      </w:r>
      <w:bookmarkEnd w:id="1264"/>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65" w:name="_Toc6940"/>
      <w:bookmarkStart w:id="1266" w:name="_Toc32019"/>
      <w:r>
        <w:rPr>
          <w:rFonts w:hint="eastAsia" w:ascii="宋体" w:hAnsi="宋体" w:eastAsia="宋体" w:cs="宋体"/>
          <w:b/>
          <w:bCs/>
          <w:color w:val="auto"/>
          <w:kern w:val="2"/>
          <w:sz w:val="24"/>
          <w:szCs w:val="24"/>
          <w:highlight w:val="none"/>
          <w:lang w:val="en-US" w:eastAsia="zh-CN" w:bidi="ar-SA"/>
        </w:rPr>
        <w:t>履约保证金：</w:t>
      </w:r>
      <w:bookmarkEnd w:id="1265"/>
      <w:bookmarkEnd w:id="1266"/>
    </w:p>
    <w:p>
      <w:pPr>
        <w:pStyle w:val="38"/>
        <w:keepNext w:val="0"/>
        <w:keepLines w:val="0"/>
        <w:pageBreakBefore w:val="0"/>
        <w:widowControl w:val="0"/>
        <w:numPr>
          <w:ilvl w:val="1"/>
          <w:numId w:val="44"/>
        </w:numPr>
        <w:kinsoku/>
        <w:overflowPunct/>
        <w:autoSpaceDE/>
        <w:autoSpaceDN/>
        <w:bidi w:val="0"/>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金额：</w:t>
      </w:r>
      <w:r>
        <w:rPr>
          <w:rFonts w:hint="eastAsia" w:ascii="宋体" w:hAnsi="宋体" w:eastAsia="宋体" w:cs="宋体"/>
          <w:b w:val="0"/>
          <w:bCs w:val="0"/>
          <w:color w:val="auto"/>
          <w:highlight w:val="none"/>
          <w:u w:val="single"/>
          <w:lang w:val="en-US" w:eastAsia="zh-CN"/>
        </w:rPr>
        <w:t xml:space="preserve">  </w:t>
      </w:r>
      <w:r>
        <w:rPr>
          <w:rFonts w:hint="eastAsia" w:cs="宋体"/>
          <w:b w:val="0"/>
          <w:bCs w:val="0"/>
          <w:color w:val="auto"/>
          <w:highlight w:val="none"/>
          <w:u w:val="single"/>
          <w:lang w:val="en-US" w:eastAsia="zh-CN"/>
        </w:rPr>
        <w:t xml:space="preserve">   </w:t>
      </w:r>
      <w:r>
        <w:rPr>
          <w:rFonts w:hint="eastAsia" w:ascii="宋体" w:hAnsi="宋体" w:eastAsia="宋体" w:cs="宋体"/>
          <w:b w:val="0"/>
          <w:bCs w:val="0"/>
          <w:color w:val="auto"/>
          <w:highlight w:val="none"/>
          <w:u w:val="single"/>
          <w:lang w:val="en-US" w:eastAsia="zh-CN"/>
        </w:rPr>
        <w:t xml:space="preserve">    </w:t>
      </w:r>
      <w:r>
        <w:rPr>
          <w:rFonts w:hint="eastAsia" w:ascii="宋体" w:hAnsi="宋体" w:eastAsia="宋体" w:cs="宋体"/>
          <w:b w:val="0"/>
          <w:bCs w:val="0"/>
          <w:color w:val="auto"/>
          <w:highlight w:val="none"/>
          <w:u w:val="none"/>
          <w:lang w:val="en-US" w:eastAsia="zh-CN"/>
        </w:rPr>
        <w:t>元</w:t>
      </w:r>
      <w:r>
        <w:rPr>
          <w:rFonts w:hint="eastAsia" w:ascii="宋体" w:hAnsi="宋体" w:eastAsia="宋体" w:cs="宋体"/>
          <w:b w:val="0"/>
          <w:bCs w:val="0"/>
          <w:color w:val="auto"/>
          <w:highlight w:val="none"/>
        </w:rPr>
        <w:t>。</w:t>
      </w:r>
    </w:p>
    <w:p>
      <w:pPr>
        <w:pStyle w:val="38"/>
        <w:keepNext w:val="0"/>
        <w:keepLines w:val="0"/>
        <w:pageBreakBefore w:val="0"/>
        <w:widowControl w:val="0"/>
        <w:numPr>
          <w:ilvl w:val="1"/>
          <w:numId w:val="44"/>
        </w:numPr>
        <w:kinsoku/>
        <w:overflowPunct/>
        <w:autoSpaceDE/>
        <w:autoSpaceDN/>
        <w:bidi w:val="0"/>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交款方式：乙方应在中标通知书发出之日起合同签订前以银行转账、支票、汇票、本票或者金融机构、担保机构出具的保函等非现金形式向甲方提交履约保证金。</w:t>
      </w:r>
    </w:p>
    <w:p>
      <w:pPr>
        <w:pStyle w:val="38"/>
        <w:keepNext w:val="0"/>
        <w:keepLines w:val="0"/>
        <w:pageBreakBefore w:val="0"/>
        <w:widowControl w:val="0"/>
        <w:numPr>
          <w:ilvl w:val="1"/>
          <w:numId w:val="44"/>
        </w:numPr>
        <w:kinsoku/>
        <w:overflowPunct/>
        <w:autoSpaceDE/>
        <w:autoSpaceDN/>
        <w:bidi w:val="0"/>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履约保证金退还方式：履行合同约定完毕后,无质量问题和违约责任情况，乙方凭“验收报告单”、出具“收到退还履约保证金的收据”、“履约保证金退还申请”到甲方财务部门办理，无息退还。甲方收到乙方提交的履约保证金退还申请等资料后，30个日历天内退还乙方履约保证金。</w:t>
      </w:r>
    </w:p>
    <w:p>
      <w:pPr>
        <w:pStyle w:val="38"/>
        <w:keepNext w:val="0"/>
        <w:keepLines w:val="0"/>
        <w:pageBreakBefore w:val="0"/>
        <w:widowControl w:val="0"/>
        <w:numPr>
          <w:ilvl w:val="1"/>
          <w:numId w:val="44"/>
        </w:numPr>
        <w:kinsoku/>
        <w:overflowPunct/>
        <w:autoSpaceDE/>
        <w:autoSpaceDN/>
        <w:bidi w:val="0"/>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履约保证金汇入的银行及账号：</w:t>
      </w:r>
      <w:r>
        <w:rPr>
          <w:rFonts w:hint="eastAsia" w:ascii="宋体" w:hAnsi="宋体" w:eastAsia="宋体" w:cs="宋体"/>
          <w:b w:val="0"/>
          <w:bCs w:val="0"/>
          <w:color w:val="auto"/>
          <w:highlight w:val="none"/>
        </w:rPr>
        <w:br w:type="textWrapping"/>
      </w:r>
      <w:r>
        <w:rPr>
          <w:rFonts w:hint="eastAsia" w:ascii="宋体" w:hAnsi="宋体" w:eastAsia="宋体" w:cs="宋体"/>
          <w:b w:val="0"/>
          <w:bCs w:val="0"/>
          <w:color w:val="auto"/>
          <w:highlight w:val="none"/>
        </w:rPr>
        <w:t xml:space="preserve">    收款账号：成都市技师学院</w:t>
      </w:r>
      <w:r>
        <w:rPr>
          <w:rFonts w:hint="eastAsia" w:ascii="宋体" w:hAnsi="宋体" w:eastAsia="宋体" w:cs="宋体"/>
          <w:b w:val="0"/>
          <w:bCs w:val="0"/>
          <w:color w:val="auto"/>
          <w:highlight w:val="none"/>
        </w:rPr>
        <w:br w:type="textWrapping"/>
      </w:r>
      <w:r>
        <w:rPr>
          <w:rFonts w:hint="eastAsia" w:ascii="宋体" w:hAnsi="宋体" w:eastAsia="宋体" w:cs="宋体"/>
          <w:b w:val="0"/>
          <w:bCs w:val="0"/>
          <w:color w:val="auto"/>
          <w:highlight w:val="none"/>
        </w:rPr>
        <w:t xml:space="preserve">    开户行：工行成都红光支行</w:t>
      </w:r>
      <w:r>
        <w:rPr>
          <w:rFonts w:hint="eastAsia" w:ascii="宋体" w:hAnsi="宋体" w:eastAsia="宋体" w:cs="宋体"/>
          <w:b w:val="0"/>
          <w:bCs w:val="0"/>
          <w:color w:val="auto"/>
          <w:highlight w:val="none"/>
        </w:rPr>
        <w:br w:type="textWrapping"/>
      </w:r>
      <w:r>
        <w:rPr>
          <w:rFonts w:hint="eastAsia" w:ascii="宋体" w:hAnsi="宋体" w:eastAsia="宋体" w:cs="宋体"/>
          <w:b w:val="0"/>
          <w:bCs w:val="0"/>
          <w:color w:val="auto"/>
          <w:highlight w:val="none"/>
        </w:rPr>
        <w:t xml:space="preserve">    银行账号：4402054609100031151</w:t>
      </w:r>
    </w:p>
    <w:p>
      <w:pPr>
        <w:pStyle w:val="38"/>
        <w:keepNext w:val="0"/>
        <w:keepLines w:val="0"/>
        <w:pageBreakBefore w:val="0"/>
        <w:widowControl w:val="0"/>
        <w:numPr>
          <w:ilvl w:val="1"/>
          <w:numId w:val="44"/>
        </w:numPr>
        <w:kinsoku/>
        <w:overflowPunct/>
        <w:autoSpaceDE/>
        <w:autoSpaceDN/>
        <w:bidi w:val="0"/>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履约保证金不予退还情形：一是乙方未按合同要求履行的，其履约保证金全部扣除。二是乙方缴纳了履约保证金，但因自身原因被取消</w:t>
      </w:r>
      <w:r>
        <w:rPr>
          <w:rFonts w:hint="eastAsia" w:cs="宋体"/>
          <w:b w:val="0"/>
          <w:bCs w:val="0"/>
          <w:color w:val="auto"/>
          <w:highlight w:val="none"/>
          <w:lang w:val="en-US" w:eastAsia="zh-CN"/>
        </w:rPr>
        <w:t>中标</w:t>
      </w:r>
      <w:r>
        <w:rPr>
          <w:rFonts w:hint="eastAsia" w:ascii="宋体" w:hAnsi="宋体" w:eastAsia="宋体" w:cs="宋体"/>
          <w:b w:val="0"/>
          <w:bCs w:val="0"/>
          <w:color w:val="auto"/>
          <w:highlight w:val="none"/>
        </w:rPr>
        <w:t>资格或在</w:t>
      </w:r>
      <w:r>
        <w:rPr>
          <w:rFonts w:hint="eastAsia" w:cs="宋体"/>
          <w:b w:val="0"/>
          <w:bCs w:val="0"/>
          <w:color w:val="auto"/>
          <w:highlight w:val="none"/>
          <w:lang w:val="en-US" w:eastAsia="zh-CN"/>
        </w:rPr>
        <w:t>中标通知书发出</w:t>
      </w:r>
      <w:r>
        <w:rPr>
          <w:rFonts w:hint="eastAsia" w:ascii="宋体" w:hAnsi="宋体" w:eastAsia="宋体" w:cs="宋体"/>
          <w:b w:val="0"/>
          <w:bCs w:val="0"/>
          <w:color w:val="auto"/>
          <w:highlight w:val="none"/>
        </w:rPr>
        <w:t>之日起30日历天(含法定节假日)内乙方不按采购文件确定的事项与甲方签订合同的，其履约保证金不予退还。</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67" w:name="_Toc11755"/>
      <w:bookmarkStart w:id="1268" w:name="_Toc15990"/>
      <w:r>
        <w:rPr>
          <w:rFonts w:hint="eastAsia" w:ascii="宋体" w:hAnsi="宋体" w:eastAsia="宋体" w:cs="宋体"/>
          <w:b/>
          <w:bCs/>
          <w:color w:val="auto"/>
          <w:kern w:val="2"/>
          <w:sz w:val="24"/>
          <w:szCs w:val="24"/>
          <w:highlight w:val="none"/>
          <w:lang w:val="en-US" w:eastAsia="zh-CN" w:bidi="ar-SA"/>
        </w:rPr>
        <w:t>付款方式</w:t>
      </w:r>
      <w:bookmarkEnd w:id="1254"/>
      <w:bookmarkEnd w:id="1255"/>
      <w:bookmarkEnd w:id="1256"/>
      <w:bookmarkEnd w:id="1257"/>
      <w:bookmarkEnd w:id="1258"/>
      <w:bookmarkEnd w:id="1259"/>
      <w:bookmarkEnd w:id="1260"/>
      <w:bookmarkEnd w:id="1261"/>
      <w:bookmarkEnd w:id="1267"/>
      <w:bookmarkEnd w:id="1268"/>
    </w:p>
    <w:p>
      <w:pPr>
        <w:pStyle w:val="38"/>
        <w:keepNext w:val="0"/>
        <w:keepLines w:val="0"/>
        <w:pageBreakBefore w:val="0"/>
        <w:widowControl w:val="0"/>
        <w:numPr>
          <w:ilvl w:val="1"/>
          <w:numId w:val="45"/>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货物安装调试完毕后、经甲方最终验收合格后，收到乙方的国税网验审合格的合法有效发票之日起30工作日内支付合同总金额的100%的合同款；如甲方收到发票之日早于最终验收合格之日，则自最终验收合格之日起30工作日内付款。</w:t>
      </w:r>
    </w:p>
    <w:p>
      <w:pPr>
        <w:pStyle w:val="38"/>
        <w:keepNext w:val="0"/>
        <w:keepLines w:val="0"/>
        <w:pageBreakBefore w:val="0"/>
        <w:widowControl w:val="0"/>
        <w:numPr>
          <w:ilvl w:val="1"/>
          <w:numId w:val="45"/>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乙方未提供增值税发票(专票或普票)，或发票经国税网验审不合格的，甲方有权拒付，且不承担逾期付款的责任。</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69" w:name="_Toc217446112"/>
      <w:bookmarkStart w:id="1270" w:name="_Toc2843"/>
      <w:bookmarkStart w:id="1271" w:name="_Toc30733"/>
      <w:bookmarkStart w:id="1272" w:name="_Toc18045"/>
      <w:bookmarkStart w:id="1273" w:name="_Toc9108"/>
      <w:bookmarkStart w:id="1274" w:name="_Toc26647"/>
      <w:bookmarkStart w:id="1275" w:name="_Toc29807"/>
      <w:bookmarkStart w:id="1276" w:name="_Toc23947"/>
      <w:bookmarkStart w:id="1277" w:name="_Toc22106"/>
      <w:bookmarkStart w:id="1278" w:name="_Toc8259"/>
      <w:r>
        <w:rPr>
          <w:rFonts w:hint="eastAsia" w:ascii="宋体" w:hAnsi="宋体" w:eastAsia="宋体" w:cs="宋体"/>
          <w:b/>
          <w:bCs/>
          <w:color w:val="auto"/>
          <w:kern w:val="2"/>
          <w:sz w:val="24"/>
          <w:szCs w:val="24"/>
          <w:highlight w:val="none"/>
          <w:lang w:val="en-US" w:eastAsia="zh-CN" w:bidi="ar-SA"/>
        </w:rPr>
        <w:t>售后服务</w:t>
      </w:r>
      <w:bookmarkEnd w:id="1269"/>
      <w:bookmarkEnd w:id="1270"/>
      <w:bookmarkEnd w:id="1271"/>
      <w:bookmarkEnd w:id="1272"/>
      <w:bookmarkEnd w:id="1273"/>
      <w:bookmarkEnd w:id="1274"/>
      <w:bookmarkEnd w:id="1275"/>
      <w:bookmarkEnd w:id="1276"/>
      <w:bookmarkEnd w:id="1277"/>
      <w:bookmarkEnd w:id="1278"/>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乙方应有完善的技术支持与服务体系，专人负责与甲方联系售后服务事宜，必要的售后机具配置、具有专门固定的售后服务电话，并能提供本地化服务。</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乙方针对本项目向甲方提供免费培训服务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培训内容包括设备和软件的安装、性能、原理、操作、保养和维护等内容(为所有参加培训人员提供文字资料和讲义等培训教材)，达到甲方可独立使用，培训人数和地点由甲方指定，并在培训后免费提供技术咨询服务。</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保期内提供7×24小时的技术支持服务，配置固定的售后服务电话。接到甲方故障报修应2小时内响应，4小时内到达现场，24小时内不能排除故障的应免费提供核心产品备用机(备用机与响应物品型号品牌一致)，备货服务在1个工作日内免费送至指定地点，以保证设备的正常使用。若因设备升级更新等原因不能保障备货供应而造成甲方损失的，乙方承担全部赔偿责任。</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故障问题解决后24小时内，向甲方提交故障的处理报告，说明问题种类、问题原因、问题解决中使用的方法及造成的损失等情况。</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货物经乙方两次维修仍不能达到本合同约定的质量标准，视作乙方未能按时交货，甲方有权退货并追究乙方的违约责任。</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项目实施过程中乙方应对甲方原场地、设施进行有效保护，如有损坏的应负责修复，无法修复的设施设备，乙方按原价双倍赔偿。</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质保期满前一个月，乙方免费负责一次全面的检查、维护，并出具正式报告，如发现潜在问题，应负责排除不收取任何费用。</w:t>
      </w:r>
    </w:p>
    <w:p>
      <w:pPr>
        <w:pStyle w:val="38"/>
        <w:keepNext w:val="0"/>
        <w:keepLines w:val="0"/>
        <w:pageBreakBefore w:val="0"/>
        <w:widowControl w:val="0"/>
        <w:numPr>
          <w:ilvl w:val="1"/>
          <w:numId w:val="46"/>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保期内乙方应为本项目所有设备提供巡检服务，每间隔6个月巡检一次，且每次巡检结束后5个工作日内提供每套设备的详细巡检情况记录(乙方须在其他投标文件中单独对本项要求以承诺函的形式作出响应，格式自拟)。</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279" w:name="_Toc22018"/>
      <w:bookmarkStart w:id="1280" w:name="_Toc29284"/>
      <w:bookmarkStart w:id="1281" w:name="_Toc5381"/>
      <w:bookmarkStart w:id="1282" w:name="_Toc12161"/>
      <w:bookmarkStart w:id="1283" w:name="_Toc11919"/>
      <w:bookmarkStart w:id="1284" w:name="_Toc5119"/>
      <w:bookmarkStart w:id="1285" w:name="_Toc18871"/>
      <w:bookmarkStart w:id="1286" w:name="_Toc217446113"/>
      <w:bookmarkStart w:id="1287" w:name="_Toc7772"/>
      <w:r>
        <w:rPr>
          <w:rFonts w:hint="eastAsia" w:ascii="宋体" w:hAnsi="宋体" w:eastAsia="宋体" w:cs="宋体"/>
          <w:b/>
          <w:bCs/>
          <w:color w:val="auto"/>
          <w:kern w:val="2"/>
          <w:sz w:val="24"/>
          <w:szCs w:val="24"/>
          <w:highlight w:val="none"/>
          <w:lang w:val="en-US" w:eastAsia="zh-CN" w:bidi="ar-SA"/>
        </w:rPr>
        <w:t>违约责任</w:t>
      </w:r>
      <w:bookmarkEnd w:id="1279"/>
      <w:bookmarkEnd w:id="1280"/>
      <w:bookmarkEnd w:id="1281"/>
      <w:bookmarkEnd w:id="1282"/>
      <w:bookmarkEnd w:id="1283"/>
      <w:bookmarkEnd w:id="1284"/>
      <w:bookmarkEnd w:id="1285"/>
      <w:bookmarkEnd w:id="1286"/>
      <w:bookmarkEnd w:id="1287"/>
    </w:p>
    <w:p>
      <w:pPr>
        <w:pStyle w:val="38"/>
        <w:keepNext w:val="0"/>
        <w:keepLines w:val="0"/>
        <w:pageBreakBefore w:val="0"/>
        <w:widowControl w:val="0"/>
        <w:numPr>
          <w:ilvl w:val="1"/>
          <w:numId w:val="47"/>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甲方违约责任</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1.甲方无正当理由拒收货物的，甲方应偿付</w:t>
      </w:r>
      <w:r>
        <w:rPr>
          <w:rFonts w:hint="eastAsia" w:cs="宋体"/>
          <w:color w:val="auto"/>
          <w:highlight w:val="none"/>
          <w:lang w:eastAsia="zh-CN"/>
        </w:rPr>
        <w:t>中标</w:t>
      </w:r>
      <w:r>
        <w:rPr>
          <w:rFonts w:hint="eastAsia" w:ascii="宋体" w:hAnsi="宋体" w:eastAsia="宋体" w:cs="宋体"/>
          <w:color w:val="auto"/>
          <w:highlight w:val="none"/>
        </w:rPr>
        <w:t>金额的百分之二十的违约金。</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甲方逾期支付货款的，除应及时付足货款外，应向乙方偿付欠款总额万分之五/天的违约金。逾期付款超过30日历天的，乙方有权终止合同(说明：如因2021年终财政关闭支付系统导致甲方在合同履行期间无法支付，则甲方不承担逾期支付责任，待2022年财政支付系统开通后立即支付)。</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3.甲方偿付的违约金不足以弥补乙方损失的，还应按乙方损失尚未弥补的部分，支付赔偿金给乙方。</w:t>
      </w:r>
    </w:p>
    <w:p>
      <w:pPr>
        <w:pStyle w:val="38"/>
        <w:keepNext w:val="0"/>
        <w:keepLines w:val="0"/>
        <w:pageBreakBefore w:val="0"/>
        <w:widowControl w:val="0"/>
        <w:numPr>
          <w:ilvl w:val="1"/>
          <w:numId w:val="42"/>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乙方违约责任</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1.乙方交付的货物质量不符合招标文件和</w:t>
      </w:r>
      <w:r>
        <w:rPr>
          <w:rFonts w:hint="eastAsia" w:cs="宋体"/>
          <w:color w:val="auto"/>
          <w:highlight w:val="none"/>
          <w:lang w:eastAsia="zh-CN"/>
        </w:rPr>
        <w:t>投标文件</w:t>
      </w:r>
      <w:r>
        <w:rPr>
          <w:rFonts w:hint="eastAsia" w:ascii="宋体" w:hAnsi="宋体" w:eastAsia="宋体" w:cs="宋体"/>
          <w:color w:val="auto"/>
          <w:highlight w:val="none"/>
        </w:rPr>
        <w:t>规定的，乙方应在招标文件规定的时间内更换合格的产品给甲方，否则，视作乙方不能交付货物而违约，按本条本款下述第“2”项规定由乙方偿付违约赔偿金给甲方。</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b w:val="0"/>
          <w:bCs/>
          <w:color w:val="auto"/>
          <w:highlight w:val="none"/>
          <w:lang w:val="en-US" w:eastAsia="zh-CN"/>
        </w:rPr>
        <w:t>乙方</w:t>
      </w:r>
      <w:r>
        <w:rPr>
          <w:rFonts w:hint="eastAsia" w:ascii="宋体" w:hAnsi="宋体" w:eastAsia="宋体" w:cs="宋体"/>
          <w:bCs/>
          <w:color w:val="auto"/>
          <w:highlight w:val="none"/>
        </w:rPr>
        <w:t>不能交付</w:t>
      </w:r>
      <w:r>
        <w:rPr>
          <w:rFonts w:hint="eastAsia" w:ascii="宋体" w:hAnsi="宋体" w:eastAsia="宋体" w:cs="宋体"/>
          <w:bCs/>
          <w:color w:val="auto"/>
          <w:highlight w:val="none"/>
          <w:lang w:val="en-US" w:eastAsia="zh-CN"/>
        </w:rPr>
        <w:t>货物</w:t>
      </w:r>
      <w:r>
        <w:rPr>
          <w:rFonts w:hint="eastAsia" w:ascii="宋体" w:hAnsi="宋体" w:eastAsia="宋体" w:cs="宋体"/>
          <w:bCs/>
          <w:color w:val="auto"/>
          <w:highlight w:val="none"/>
        </w:rPr>
        <w:t>的，本合同终止，</w:t>
      </w:r>
      <w:r>
        <w:rPr>
          <w:rFonts w:hint="eastAsia" w:ascii="宋体" w:hAnsi="宋体" w:eastAsia="宋体" w:cs="宋体"/>
          <w:bCs/>
          <w:color w:val="auto"/>
          <w:highlight w:val="none"/>
          <w:lang w:val="en-US" w:eastAsia="zh-CN"/>
        </w:rPr>
        <w:t>乙方</w:t>
      </w:r>
      <w:r>
        <w:rPr>
          <w:rFonts w:hint="eastAsia" w:ascii="宋体" w:hAnsi="宋体" w:eastAsia="宋体" w:cs="宋体"/>
          <w:bCs/>
          <w:color w:val="auto"/>
          <w:highlight w:val="none"/>
        </w:rPr>
        <w:t>全额退还</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已经付给</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的所有费用及其利息（按中国人民银行同期贷款利率为标准计算），并按本合同金额的百分之二十向</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偿付赔偿金。</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逾期交付</w:t>
      </w:r>
      <w:r>
        <w:rPr>
          <w:rFonts w:hint="eastAsia" w:ascii="宋体" w:hAnsi="宋体" w:eastAsia="宋体" w:cs="宋体"/>
          <w:bCs/>
          <w:color w:val="auto"/>
          <w:highlight w:val="none"/>
          <w:lang w:val="en-US" w:eastAsia="zh-CN"/>
        </w:rPr>
        <w:t>货物</w:t>
      </w:r>
      <w:r>
        <w:rPr>
          <w:rFonts w:hint="eastAsia" w:ascii="宋体" w:hAnsi="宋体" w:eastAsia="宋体" w:cs="宋体"/>
          <w:bCs/>
          <w:color w:val="auto"/>
          <w:highlight w:val="none"/>
        </w:rPr>
        <w:t>的，除应及时交足</w:t>
      </w:r>
      <w:r>
        <w:rPr>
          <w:rFonts w:hint="eastAsia" w:ascii="宋体" w:hAnsi="宋体" w:eastAsia="宋体" w:cs="宋体"/>
          <w:bCs/>
          <w:color w:val="auto"/>
          <w:highlight w:val="none"/>
          <w:lang w:eastAsia="zh-CN"/>
        </w:rPr>
        <w:t>货物</w:t>
      </w:r>
      <w:r>
        <w:rPr>
          <w:rFonts w:hint="eastAsia" w:ascii="宋体" w:hAnsi="宋体" w:eastAsia="宋体" w:cs="宋体"/>
          <w:bCs/>
          <w:color w:val="auto"/>
          <w:highlight w:val="none"/>
        </w:rPr>
        <w:t>外，应按本合同金额万分之五/天向</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偿付违约金；逾期交付</w:t>
      </w:r>
      <w:r>
        <w:rPr>
          <w:rFonts w:hint="eastAsia" w:ascii="宋体" w:hAnsi="宋体" w:eastAsia="宋体" w:cs="宋体"/>
          <w:bCs/>
          <w:color w:val="auto"/>
          <w:highlight w:val="none"/>
          <w:lang w:eastAsia="zh-CN"/>
        </w:rPr>
        <w:t>货物</w:t>
      </w:r>
      <w:r>
        <w:rPr>
          <w:rFonts w:hint="eastAsia" w:ascii="宋体" w:hAnsi="宋体" w:eastAsia="宋体" w:cs="宋体"/>
          <w:bCs/>
          <w:color w:val="auto"/>
          <w:highlight w:val="none"/>
        </w:rPr>
        <w:t>和货物超过10日历天，</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有权终止合同，并要求</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全额退还</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已经付给</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的所有费用及其利息（按中国人民银行同期贷款利率为标准计算），同时按本合同金额的百分之二十向</w:t>
      </w:r>
      <w:r>
        <w:rPr>
          <w:rFonts w:hint="eastAsia" w:ascii="宋体" w:hAnsi="宋体" w:eastAsia="宋体" w:cs="宋体"/>
          <w:bCs/>
          <w:color w:val="auto"/>
          <w:highlight w:val="none"/>
          <w:lang w:eastAsia="zh-CN"/>
        </w:rPr>
        <w:t>甲方人</w:t>
      </w:r>
      <w:r>
        <w:rPr>
          <w:rFonts w:hint="eastAsia" w:ascii="宋体" w:hAnsi="宋体" w:eastAsia="宋体" w:cs="宋体"/>
          <w:bCs/>
          <w:color w:val="auto"/>
          <w:highlight w:val="none"/>
        </w:rPr>
        <w:t>偿付赔偿金。</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3.乙方货物经甲方送交具有法定资格条件的质量技术监督机构检测后，如检测结果认定货物质量不符合招标文件和乙方</w:t>
      </w:r>
      <w:r>
        <w:rPr>
          <w:rFonts w:hint="eastAsia" w:cs="宋体"/>
          <w:color w:val="auto"/>
          <w:highlight w:val="none"/>
          <w:lang w:eastAsia="zh-CN"/>
        </w:rPr>
        <w:t>投标文件</w:t>
      </w:r>
      <w:r>
        <w:rPr>
          <w:rFonts w:hint="eastAsia" w:ascii="宋体" w:hAnsi="宋体" w:eastAsia="宋体" w:cs="宋体"/>
          <w:color w:val="auto"/>
          <w:highlight w:val="none"/>
        </w:rPr>
        <w:t>规定标准的，则视为乙方没有按时交货而违约，乙方须在5日历天内无条件更换合格的货物，如逾期不能更换合格的货物，甲方有权终止合同并要求乙方按</w:t>
      </w:r>
      <w:r>
        <w:rPr>
          <w:rFonts w:hint="eastAsia" w:cs="宋体"/>
          <w:color w:val="auto"/>
          <w:highlight w:val="none"/>
          <w:lang w:eastAsia="zh-CN"/>
        </w:rPr>
        <w:t>中标</w:t>
      </w:r>
      <w:r>
        <w:rPr>
          <w:rFonts w:hint="eastAsia" w:ascii="宋体" w:hAnsi="宋体" w:eastAsia="宋体" w:cs="宋体"/>
          <w:color w:val="auto"/>
          <w:highlight w:val="none"/>
        </w:rPr>
        <w:t>金额的百分之二十向甲方偿付赔偿金，同时须全额退还甲方已经付给中标乙方的货款及其利息。</w:t>
      </w:r>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4.乙方未按招标文件和乙方的投标文件约定的时间及要求提供售后服务的，应向甲方支付</w:t>
      </w:r>
      <w:r>
        <w:rPr>
          <w:rFonts w:hint="eastAsia" w:cs="宋体"/>
          <w:color w:val="auto"/>
          <w:highlight w:val="none"/>
          <w:lang w:eastAsia="zh-CN"/>
        </w:rPr>
        <w:t>中标</w:t>
      </w:r>
      <w:r>
        <w:rPr>
          <w:rFonts w:hint="eastAsia" w:ascii="宋体" w:hAnsi="宋体" w:eastAsia="宋体" w:cs="宋体"/>
          <w:color w:val="auto"/>
          <w:highlight w:val="none"/>
        </w:rPr>
        <w:t>金额百分之五的违约金。超过两次(含两次)，甲方有权聘请第三方提供服务，由此产生的费用全部由乙方承担，乙方还应按</w:t>
      </w:r>
      <w:r>
        <w:rPr>
          <w:rFonts w:hint="eastAsia" w:cs="宋体"/>
          <w:color w:val="auto"/>
          <w:highlight w:val="none"/>
          <w:lang w:eastAsia="zh-CN"/>
        </w:rPr>
        <w:t>中标</w:t>
      </w:r>
      <w:r>
        <w:rPr>
          <w:rFonts w:hint="eastAsia" w:ascii="宋体" w:hAnsi="宋体" w:eastAsia="宋体" w:cs="宋体"/>
          <w:color w:val="auto"/>
          <w:highlight w:val="none"/>
        </w:rPr>
        <w:t>金额的百分之十向甲方支付违约金。</w:t>
      </w:r>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乙方保证响应的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cs="宋体"/>
          <w:color w:val="auto"/>
          <w:highlight w:val="none"/>
          <w:lang w:eastAsia="zh-CN"/>
        </w:rPr>
        <w:t>中标</w:t>
      </w:r>
      <w:r>
        <w:rPr>
          <w:rFonts w:hint="eastAsia" w:ascii="宋体" w:hAnsi="宋体" w:eastAsia="宋体" w:cs="宋体"/>
          <w:color w:val="auto"/>
          <w:highlight w:val="none"/>
        </w:rPr>
        <w:t>金额百分之十向甲方支付违约金。</w:t>
      </w:r>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6.若乙方提供虚假、作废发票或违反国家法律、法规开具或提供发票的，乙方自行承担全部法律责任，同时乙方还应按</w:t>
      </w:r>
      <w:r>
        <w:rPr>
          <w:rFonts w:hint="eastAsia" w:cs="宋体"/>
          <w:color w:val="auto"/>
          <w:highlight w:val="none"/>
          <w:lang w:eastAsia="zh-CN"/>
        </w:rPr>
        <w:t>中标</w:t>
      </w:r>
      <w:r>
        <w:rPr>
          <w:rFonts w:hint="eastAsia" w:ascii="宋体" w:hAnsi="宋体" w:eastAsia="宋体" w:cs="宋体"/>
          <w:color w:val="auto"/>
          <w:highlight w:val="none"/>
        </w:rPr>
        <w:t>金额的百分之十向甲方支付违约金。</w:t>
      </w:r>
    </w:p>
    <w:p>
      <w:pPr>
        <w:keepNext w:val="0"/>
        <w:keepLines w:val="0"/>
        <w:pageBreakBefore w:val="0"/>
        <w:widowControl w:val="0"/>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7.乙方偿付的违约金不足以弥补甲方损失的，还应按甲方损失尚未弥补的部分,支付赔偿金给甲方。</w:t>
      </w:r>
    </w:p>
    <w:p>
      <w:pPr>
        <w:pStyle w:val="38"/>
        <w:keepNext w:val="0"/>
        <w:keepLines w:val="0"/>
        <w:pageBreakBefore w:val="0"/>
        <w:widowControl w:val="0"/>
        <w:numPr>
          <w:ilvl w:val="1"/>
          <w:numId w:val="42"/>
        </w:numPr>
        <w:kinsoku/>
        <w:overflowPunct/>
        <w:autoSpaceDE/>
        <w:autoSpaceDN/>
        <w:bidi w:val="0"/>
        <w:ind w:left="0" w:leftChars="0"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有下列情形之一的，当事人可以解除合同：</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1.</w:t>
      </w:r>
      <w:r>
        <w:rPr>
          <w:rFonts w:hint="eastAsia" w:ascii="宋体" w:hAnsi="宋体" w:eastAsia="宋体" w:cs="宋体"/>
          <w:color w:val="auto"/>
          <w:kern w:val="0"/>
          <w:highlight w:val="none"/>
        </w:rPr>
        <w:t>因不可抗力致使不能实现合同目的(由于非乙方或甲方原因，致使合同实质性条款无法实现的)；</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2.当事人一方迟延履行主要债务，经催告后在合理期限内仍未履行；</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3.当事人一方迟延履行债务或者有其他违约行为致使不能实现合同目的；</w:t>
      </w:r>
    </w:p>
    <w:p>
      <w:pPr>
        <w:keepNext w:val="0"/>
        <w:keepLines w:val="0"/>
        <w:pageBreakBefore w:val="0"/>
        <w:widowControl w:val="0"/>
        <w:kinsoku/>
        <w:overflowPunct/>
        <w:autoSpaceDE/>
        <w:autoSpaceDN/>
        <w:bidi w:val="0"/>
        <w:adjustRightInd/>
        <w:snapToGrid/>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4.法律规定的其他情形。</w:t>
      </w:r>
    </w:p>
    <w:p>
      <w:pPr>
        <w:pStyle w:val="26"/>
        <w:bidi w:val="0"/>
        <w:rPr>
          <w:rFonts w:hint="eastAsia"/>
          <w:color w:val="auto"/>
          <w:highlight w:val="none"/>
        </w:rPr>
      </w:pPr>
      <w:bookmarkStart w:id="1288" w:name="_Toc8015"/>
      <w:bookmarkStart w:id="1289" w:name="_Toc13595"/>
      <w:bookmarkStart w:id="1290" w:name="_Toc11580"/>
      <w:bookmarkStart w:id="1291" w:name="_Toc30469"/>
      <w:bookmarkStart w:id="1292" w:name="_Toc7150"/>
      <w:bookmarkStart w:id="1293" w:name="_Toc31900"/>
      <w:bookmarkStart w:id="1294" w:name="_Toc21551"/>
      <w:bookmarkStart w:id="1295" w:name="_Toc22826"/>
      <w:bookmarkStart w:id="1296" w:name="_Toc7980"/>
      <w:bookmarkStart w:id="1297" w:name="_Toc217446114"/>
      <w:bookmarkStart w:id="1298" w:name="_Toc29862"/>
      <w:bookmarkStart w:id="1299" w:name="_Toc25607"/>
      <w:r>
        <w:rPr>
          <w:rFonts w:hint="eastAsia"/>
          <w:color w:val="auto"/>
          <w:highlight w:val="none"/>
        </w:rPr>
        <w:t>甲方的权利和义务</w:t>
      </w:r>
      <w:bookmarkEnd w:id="1288"/>
      <w:bookmarkEnd w:id="1289"/>
      <w:bookmarkEnd w:id="1290"/>
    </w:p>
    <w:p>
      <w:pPr>
        <w:pStyle w:val="38"/>
        <w:numPr>
          <w:ilvl w:val="1"/>
          <w:numId w:val="48"/>
        </w:numPr>
        <w:bidi w:val="0"/>
        <w:rPr>
          <w:rFonts w:hint="eastAsia"/>
          <w:color w:val="auto"/>
          <w:highlight w:val="none"/>
        </w:rPr>
      </w:pPr>
      <w:r>
        <w:rPr>
          <w:rFonts w:hint="eastAsia"/>
          <w:color w:val="auto"/>
          <w:highlight w:val="none"/>
        </w:rPr>
        <w:t>甲方有权对合同规定范围内乙方的</w:t>
      </w:r>
      <w:r>
        <w:rPr>
          <w:rFonts w:hint="eastAsia"/>
          <w:color w:val="auto"/>
          <w:highlight w:val="none"/>
          <w:lang w:val="en-US" w:eastAsia="zh-CN"/>
        </w:rPr>
        <w:t>货物及</w:t>
      </w:r>
      <w:r>
        <w:rPr>
          <w:rFonts w:hint="eastAsia"/>
          <w:color w:val="auto"/>
          <w:highlight w:val="none"/>
        </w:rPr>
        <w:t>服务行为进行监督和检查，拥有监管权。有权定期核对乙方提供</w:t>
      </w:r>
      <w:r>
        <w:rPr>
          <w:rFonts w:hint="eastAsia"/>
          <w:color w:val="auto"/>
          <w:highlight w:val="none"/>
          <w:lang w:val="en-US" w:eastAsia="zh-CN"/>
        </w:rPr>
        <w:t>货物及</w:t>
      </w:r>
      <w:r>
        <w:rPr>
          <w:rFonts w:hint="eastAsia"/>
          <w:color w:val="auto"/>
          <w:highlight w:val="none"/>
        </w:rPr>
        <w:t>服务所配备的人员数量。对甲方认为不合理的部分有权下达整改通知书，并要求乙方限期整改。</w:t>
      </w:r>
    </w:p>
    <w:p>
      <w:pPr>
        <w:pStyle w:val="38"/>
        <w:numPr>
          <w:ilvl w:val="1"/>
          <w:numId w:val="48"/>
        </w:numPr>
        <w:bidi w:val="0"/>
        <w:rPr>
          <w:rFonts w:hint="eastAsia"/>
          <w:color w:val="auto"/>
          <w:highlight w:val="none"/>
        </w:rPr>
      </w:pPr>
      <w:r>
        <w:rPr>
          <w:rFonts w:hint="eastAsia"/>
          <w:color w:val="auto"/>
          <w:highlight w:val="none"/>
        </w:rPr>
        <w:t>负责检查监督乙方管理工作的实施及制度的执行情况。</w:t>
      </w:r>
    </w:p>
    <w:p>
      <w:pPr>
        <w:pStyle w:val="38"/>
        <w:numPr>
          <w:ilvl w:val="1"/>
          <w:numId w:val="48"/>
        </w:numPr>
        <w:bidi w:val="0"/>
        <w:rPr>
          <w:rFonts w:hint="eastAsia"/>
          <w:color w:val="auto"/>
          <w:highlight w:val="none"/>
        </w:rPr>
      </w:pPr>
      <w:r>
        <w:rPr>
          <w:rFonts w:hint="eastAsia"/>
          <w:color w:val="auto"/>
          <w:highlight w:val="none"/>
        </w:rPr>
        <w:t>根据本合同规定，按时向乙方支付应付服务费用。</w:t>
      </w:r>
    </w:p>
    <w:p>
      <w:pPr>
        <w:pStyle w:val="38"/>
        <w:numPr>
          <w:ilvl w:val="1"/>
          <w:numId w:val="48"/>
        </w:numPr>
        <w:bidi w:val="0"/>
        <w:rPr>
          <w:rFonts w:hint="eastAsia"/>
          <w:color w:val="auto"/>
          <w:highlight w:val="none"/>
        </w:rPr>
      </w:pPr>
      <w:r>
        <w:rPr>
          <w:rFonts w:hint="eastAsia"/>
          <w:color w:val="auto"/>
          <w:highlight w:val="none"/>
        </w:rPr>
        <w:t>国家法律、法规所规定由甲方承担的其它责任。</w:t>
      </w:r>
    </w:p>
    <w:p>
      <w:pPr>
        <w:pStyle w:val="26"/>
        <w:bidi w:val="0"/>
        <w:rPr>
          <w:rFonts w:hint="eastAsia"/>
          <w:color w:val="auto"/>
          <w:highlight w:val="none"/>
        </w:rPr>
      </w:pPr>
      <w:bookmarkStart w:id="1300" w:name="_Toc8944"/>
      <w:bookmarkStart w:id="1301" w:name="_Toc27581"/>
      <w:bookmarkStart w:id="1302" w:name="_Toc13118"/>
      <w:r>
        <w:rPr>
          <w:rFonts w:hint="eastAsia"/>
          <w:color w:val="auto"/>
          <w:highlight w:val="none"/>
        </w:rPr>
        <w:t>乙方的权利和义务</w:t>
      </w:r>
      <w:bookmarkEnd w:id="1300"/>
      <w:bookmarkEnd w:id="1301"/>
      <w:bookmarkEnd w:id="1302"/>
    </w:p>
    <w:p>
      <w:pPr>
        <w:pStyle w:val="38"/>
        <w:numPr>
          <w:ilvl w:val="1"/>
          <w:numId w:val="49"/>
        </w:numPr>
        <w:bidi w:val="0"/>
        <w:rPr>
          <w:rFonts w:hint="eastAsia"/>
          <w:color w:val="auto"/>
          <w:highlight w:val="none"/>
        </w:rPr>
      </w:pPr>
      <w:r>
        <w:rPr>
          <w:rFonts w:hint="eastAsia"/>
          <w:color w:val="auto"/>
          <w:highlight w:val="none"/>
        </w:rPr>
        <w:t>对本合同规定的委托</w:t>
      </w:r>
      <w:r>
        <w:rPr>
          <w:rFonts w:hint="eastAsia"/>
          <w:color w:val="auto"/>
          <w:highlight w:val="none"/>
          <w:lang w:val="en-US" w:eastAsia="zh-CN"/>
        </w:rPr>
        <w:t>事项</w:t>
      </w:r>
      <w:r>
        <w:rPr>
          <w:rFonts w:hint="eastAsia"/>
          <w:color w:val="auto"/>
          <w:highlight w:val="none"/>
        </w:rPr>
        <w:t>范围内的项目享有管理权及服务义务。</w:t>
      </w:r>
    </w:p>
    <w:p>
      <w:pPr>
        <w:pStyle w:val="38"/>
        <w:numPr>
          <w:ilvl w:val="1"/>
          <w:numId w:val="49"/>
        </w:numPr>
        <w:bidi w:val="0"/>
        <w:rPr>
          <w:rFonts w:hint="eastAsia"/>
          <w:color w:val="auto"/>
          <w:highlight w:val="none"/>
        </w:rPr>
      </w:pPr>
      <w:r>
        <w:rPr>
          <w:rFonts w:hint="eastAsia"/>
          <w:color w:val="auto"/>
          <w:highlight w:val="none"/>
        </w:rPr>
        <w:t>根据本合同的规定向甲方收取相关服务费用。</w:t>
      </w:r>
    </w:p>
    <w:p>
      <w:pPr>
        <w:pStyle w:val="38"/>
        <w:numPr>
          <w:ilvl w:val="1"/>
          <w:numId w:val="49"/>
        </w:numPr>
        <w:bidi w:val="0"/>
        <w:rPr>
          <w:rFonts w:hint="eastAsia" w:ascii="宋体" w:hAnsi="宋体" w:eastAsia="宋体"/>
          <w:color w:val="auto"/>
          <w:highlight w:val="none"/>
        </w:rPr>
      </w:pPr>
      <w:r>
        <w:rPr>
          <w:rFonts w:hint="eastAsia" w:ascii="宋体" w:hAnsi="宋体" w:eastAsia="宋体"/>
          <w:color w:val="auto"/>
          <w:highlight w:val="none"/>
        </w:rPr>
        <w:t>及时向甲方通告本项目范围内</w:t>
      </w:r>
      <w:r>
        <w:rPr>
          <w:rFonts w:hint="eastAsia" w:ascii="宋体" w:hAnsi="宋体" w:eastAsia="宋体"/>
          <w:color w:val="auto"/>
          <w:highlight w:val="none"/>
          <w:lang w:val="en-US" w:eastAsia="zh-CN"/>
        </w:rPr>
        <w:t>相关</w:t>
      </w:r>
      <w:r>
        <w:rPr>
          <w:rFonts w:hint="eastAsia" w:ascii="宋体" w:hAnsi="宋体" w:eastAsia="宋体"/>
          <w:color w:val="auto"/>
          <w:highlight w:val="none"/>
        </w:rPr>
        <w:t>的重大事项，及时配合处理投诉。</w:t>
      </w:r>
    </w:p>
    <w:p>
      <w:pPr>
        <w:pStyle w:val="38"/>
        <w:numPr>
          <w:ilvl w:val="1"/>
          <w:numId w:val="49"/>
        </w:numPr>
        <w:bidi w:val="0"/>
        <w:rPr>
          <w:rFonts w:hint="eastAsia" w:ascii="宋体" w:hAnsi="宋体" w:eastAsia="宋体"/>
          <w:color w:val="auto"/>
          <w:highlight w:val="none"/>
        </w:rPr>
      </w:pPr>
      <w:r>
        <w:rPr>
          <w:rFonts w:hint="eastAsia" w:ascii="宋体" w:hAnsi="宋体" w:eastAsia="宋体"/>
          <w:color w:val="auto"/>
          <w:highlight w:val="none"/>
        </w:rPr>
        <w:t>接受项目行业管理部门及政府有关部门的指导，接受甲方的监督。</w:t>
      </w:r>
    </w:p>
    <w:p>
      <w:pPr>
        <w:pStyle w:val="38"/>
        <w:numPr>
          <w:ilvl w:val="1"/>
          <w:numId w:val="49"/>
        </w:numPr>
        <w:bidi w:val="0"/>
        <w:rPr>
          <w:rFonts w:hint="eastAsia" w:ascii="宋体" w:hAnsi="宋体" w:eastAsia="宋体"/>
          <w:color w:val="auto"/>
          <w:highlight w:val="none"/>
          <w:lang w:val="en-US" w:eastAsia="zh-CN"/>
        </w:rPr>
      </w:pPr>
      <w:r>
        <w:rPr>
          <w:rFonts w:hint="eastAsia" w:ascii="宋体" w:hAnsi="宋体" w:eastAsia="宋体"/>
          <w:color w:val="auto"/>
          <w:highlight w:val="none"/>
        </w:rPr>
        <w:t>国家法律、法规所规定由乙方承担的其它责任。</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03" w:name="_Toc18390"/>
      <w:r>
        <w:rPr>
          <w:rFonts w:hint="eastAsia" w:ascii="宋体" w:hAnsi="宋体" w:eastAsia="宋体" w:cs="宋体"/>
          <w:b/>
          <w:bCs/>
          <w:color w:val="auto"/>
          <w:kern w:val="2"/>
          <w:sz w:val="24"/>
          <w:szCs w:val="24"/>
          <w:highlight w:val="none"/>
          <w:lang w:val="en-US" w:eastAsia="zh-CN" w:bidi="ar-SA"/>
        </w:rPr>
        <w:t>争议解决的方法</w:t>
      </w:r>
      <w:bookmarkEnd w:id="1291"/>
      <w:bookmarkEnd w:id="1292"/>
      <w:bookmarkEnd w:id="1293"/>
      <w:bookmarkEnd w:id="1294"/>
      <w:bookmarkEnd w:id="1295"/>
      <w:bookmarkEnd w:id="1296"/>
      <w:bookmarkEnd w:id="1297"/>
      <w:bookmarkEnd w:id="1298"/>
      <w:bookmarkEnd w:id="1299"/>
      <w:bookmarkEnd w:id="1303"/>
    </w:p>
    <w:p>
      <w:pPr>
        <w:pStyle w:val="38"/>
        <w:keepNext w:val="0"/>
        <w:keepLines w:val="0"/>
        <w:pageBreakBefore w:val="0"/>
        <w:widowControl w:val="0"/>
        <w:numPr>
          <w:ilvl w:val="1"/>
          <w:numId w:val="50"/>
        </w:numPr>
        <w:kinsoku/>
        <w:overflowPunct/>
        <w:autoSpaceDE/>
        <w:autoSpaceDN/>
        <w:bidi w:val="0"/>
        <w:ind w:left="0" w:leftChars="0" w:firstLine="480" w:firstLineChars="200"/>
        <w:textAlignment w:val="auto"/>
        <w:rPr>
          <w:rFonts w:hint="eastAsia" w:ascii="宋体" w:hAnsi="宋体" w:eastAsia="宋体" w:cs="宋体"/>
          <w:color w:val="auto"/>
          <w:sz w:val="24"/>
          <w:szCs w:val="24"/>
          <w:highlight w:val="none"/>
        </w:rPr>
      </w:pPr>
      <w:bookmarkStart w:id="1304" w:name="_Toc11270"/>
      <w:bookmarkStart w:id="1305" w:name="_Toc28943"/>
      <w:bookmarkStart w:id="1306" w:name="_Toc2164"/>
      <w:bookmarkStart w:id="1307" w:name="_Toc20531"/>
      <w:bookmarkStart w:id="1308" w:name="_Toc16731"/>
      <w:bookmarkStart w:id="1309" w:name="_Toc8003"/>
      <w:bookmarkStart w:id="1310" w:name="_Toc217446115"/>
      <w:bookmarkStart w:id="1311" w:name="_Toc25669"/>
      <w:r>
        <w:rPr>
          <w:rFonts w:hint="eastAsia" w:ascii="宋体" w:hAnsi="宋体" w:eastAsia="宋体" w:cs="宋体"/>
          <w:color w:val="auto"/>
          <w:sz w:val="24"/>
          <w:szCs w:val="24"/>
          <w:highlight w:val="none"/>
        </w:rPr>
        <w:t>因质量问题发生争议，由乙方和甲方协商确定的第三方机构进行质量鉴定。质量符合标准的，鉴定费由甲方承担；不符合质量标准的，鉴定费由乙方承担。</w:t>
      </w:r>
    </w:p>
    <w:p>
      <w:pPr>
        <w:pStyle w:val="38"/>
        <w:keepNext w:val="0"/>
        <w:keepLines w:val="0"/>
        <w:pageBreakBefore w:val="0"/>
        <w:widowControl w:val="0"/>
        <w:numPr>
          <w:ilvl w:val="1"/>
          <w:numId w:val="50"/>
        </w:numPr>
        <w:kinsoku/>
        <w:overflowPunct/>
        <w:autoSpaceDE/>
        <w:autoSpaceDN/>
        <w:bidi w:val="0"/>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履约期间,若双方发生争议，双方应通过友好协商解决，经协商不能达成协议时，应向甲方所在地人民法院提起诉讼。</w:t>
      </w:r>
    </w:p>
    <w:p>
      <w:pPr>
        <w:pStyle w:val="38"/>
        <w:keepNext w:val="0"/>
        <w:keepLines w:val="0"/>
        <w:pageBreakBefore w:val="0"/>
        <w:widowControl w:val="0"/>
        <w:numPr>
          <w:ilvl w:val="1"/>
          <w:numId w:val="50"/>
        </w:numPr>
        <w:kinsoku/>
        <w:overflowPunct/>
        <w:autoSpaceDE/>
        <w:autoSpaceDN/>
        <w:bidi w:val="0"/>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在诉讼期间，除正在进行诉讼的部分外，合同其他部分继续执行。</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val="0"/>
          <w:color w:val="auto"/>
          <w:kern w:val="2"/>
          <w:sz w:val="24"/>
          <w:szCs w:val="24"/>
          <w:highlight w:val="none"/>
          <w:lang w:val="en-US" w:eastAsia="zh-CN" w:bidi="ar-SA"/>
        </w:rPr>
      </w:pPr>
      <w:bookmarkStart w:id="1312" w:name="_Toc7801"/>
      <w:r>
        <w:rPr>
          <w:rFonts w:hint="eastAsia" w:ascii="宋体" w:hAnsi="宋体" w:eastAsia="宋体" w:cs="宋体"/>
          <w:b/>
          <w:bCs w:val="0"/>
          <w:color w:val="auto"/>
          <w:kern w:val="2"/>
          <w:sz w:val="24"/>
          <w:szCs w:val="24"/>
          <w:highlight w:val="none"/>
          <w:lang w:val="en-US" w:eastAsia="zh-CN" w:bidi="ar-SA"/>
        </w:rPr>
        <w:t>合同的变更和终止</w:t>
      </w:r>
      <w:bookmarkEnd w:id="1312"/>
    </w:p>
    <w:p>
      <w:pPr>
        <w:keepNext w:val="0"/>
        <w:keepLines w:val="0"/>
        <w:pageBreakBefore w:val="0"/>
        <w:widowControl w:val="0"/>
        <w:kinsoku/>
        <w:overflowPunct/>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除《政府采购法》第49条、第50条第二款规定的情形外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本合同一经签订，甲乙双方不得擅自变更、中止或终止合同。</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val="0"/>
          <w:color w:val="auto"/>
          <w:kern w:val="2"/>
          <w:sz w:val="24"/>
          <w:szCs w:val="24"/>
          <w:highlight w:val="none"/>
          <w:lang w:val="en-US" w:eastAsia="zh-CN" w:bidi="ar-SA"/>
        </w:rPr>
      </w:pPr>
      <w:bookmarkStart w:id="1313" w:name="_Toc22781"/>
      <w:r>
        <w:rPr>
          <w:rFonts w:hint="eastAsia" w:ascii="宋体" w:hAnsi="宋体" w:eastAsia="宋体" w:cs="宋体"/>
          <w:b/>
          <w:bCs w:val="0"/>
          <w:color w:val="auto"/>
          <w:kern w:val="2"/>
          <w:sz w:val="24"/>
          <w:szCs w:val="24"/>
          <w:highlight w:val="none"/>
          <w:lang w:val="en-US" w:eastAsia="zh-CN" w:bidi="ar-SA"/>
        </w:rPr>
        <w:t>合同的转让</w:t>
      </w:r>
      <w:bookmarkEnd w:id="1313"/>
    </w:p>
    <w:p>
      <w:pPr>
        <w:keepNext w:val="0"/>
        <w:keepLines w:val="0"/>
        <w:pageBreakBefore w:val="0"/>
        <w:widowControl w:val="0"/>
        <w:kinsoku/>
        <w:overflowPunct/>
        <w:autoSpaceDE/>
        <w:autoSpaceDN/>
        <w:bidi w:val="0"/>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乙方不得擅自部分或全部转让其应履行的合同义务。</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14" w:name="_Toc1044"/>
      <w:bookmarkStart w:id="1315" w:name="_Toc15125"/>
      <w:r>
        <w:rPr>
          <w:rFonts w:hint="eastAsia" w:ascii="宋体" w:hAnsi="宋体" w:eastAsia="宋体" w:cs="宋体"/>
          <w:b/>
          <w:bCs/>
          <w:color w:val="auto"/>
          <w:kern w:val="2"/>
          <w:sz w:val="24"/>
          <w:szCs w:val="24"/>
          <w:highlight w:val="none"/>
          <w:lang w:val="en-US" w:eastAsia="zh-CN" w:bidi="ar-SA"/>
        </w:rPr>
        <w:t>其他</w:t>
      </w:r>
      <w:bookmarkEnd w:id="1304"/>
      <w:bookmarkEnd w:id="1305"/>
      <w:bookmarkEnd w:id="1306"/>
      <w:bookmarkEnd w:id="1307"/>
      <w:bookmarkEnd w:id="1308"/>
      <w:bookmarkEnd w:id="1309"/>
      <w:bookmarkEnd w:id="1310"/>
      <w:bookmarkEnd w:id="1311"/>
      <w:bookmarkEnd w:id="1314"/>
      <w:r>
        <w:rPr>
          <w:rFonts w:hint="eastAsia" w:ascii="宋体" w:hAnsi="宋体" w:eastAsia="宋体" w:cs="宋体"/>
          <w:b/>
          <w:bCs/>
          <w:color w:val="auto"/>
          <w:kern w:val="2"/>
          <w:sz w:val="24"/>
          <w:szCs w:val="24"/>
          <w:highlight w:val="none"/>
          <w:lang w:val="en-US" w:eastAsia="zh-CN" w:bidi="ar-SA"/>
        </w:rPr>
        <w:t>商务要求</w:t>
      </w:r>
      <w:bookmarkEnd w:id="1315"/>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乙方在项目执行过程中定期向甲方通告本项目供货的重大事项及其进度。</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如因乙方工作人员在履行职务过程中的疏忽、失职、过错等故意或者过失原因给甲方造成损失或侵害，包括但不限于采购方本身的财产损失、由此而导致的甲方对任何第三方的法律责任等，乙方对此均应承担全部的赔偿责任。</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甲方享有本项目实施过程中产生的知识成果及知识产权。</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乙方如拟在项目实施过程中采用自有知识成果，需在投标文件中声明，并提供相关知识产权证明文件。使用该知识成果后，乙方需提供开发接口和开发手册等技术文档，并提供无限期技术支持。</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乙方为本项目提供的所有产品、辅材中属于《国家强制性产品认证目录》范围内产品的，均通过国家强制性产品认证并取得认证证书。</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乙方为本项目提供的所有产品、辅材符合现行的强制性国家相关标准、行业标准。</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乙方为本项目提供的所有产品中属于节能产品政府采购品目清单中的政府强制采购产品的，均应具有国家确定的认证机构出具的有效期内的节能产品认证证书。</w:t>
      </w:r>
    </w:p>
    <w:p>
      <w:pPr>
        <w:pStyle w:val="38"/>
        <w:keepNext w:val="0"/>
        <w:keepLines w:val="0"/>
        <w:pageBreakBefore w:val="0"/>
        <w:widowControl w:val="0"/>
        <w:numPr>
          <w:ilvl w:val="1"/>
          <w:numId w:val="51"/>
        </w:numPr>
        <w:kinsoku/>
        <w:overflowPunct/>
        <w:autoSpaceDE/>
        <w:autoSpaceDN/>
        <w:bidi w:val="0"/>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乙方应制定详细的项目实施方案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培训方案、售后服务方案详见乙方的投标文件</w:t>
      </w:r>
      <w:r>
        <w:rPr>
          <w:rFonts w:hint="eastAsia" w:ascii="宋体" w:hAnsi="宋体" w:eastAsia="宋体" w:cs="宋体"/>
          <w:color w:val="auto"/>
          <w:highlight w:val="none"/>
        </w:rPr>
        <w:t>。</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16" w:name="_Toc1738"/>
      <w:r>
        <w:rPr>
          <w:rFonts w:hint="eastAsia" w:ascii="宋体" w:hAnsi="宋体" w:eastAsia="宋体" w:cs="宋体"/>
          <w:b/>
          <w:bCs/>
          <w:color w:val="auto"/>
          <w:kern w:val="2"/>
          <w:sz w:val="24"/>
          <w:szCs w:val="24"/>
          <w:highlight w:val="none"/>
          <w:lang w:val="en-US" w:eastAsia="zh-CN" w:bidi="ar-SA"/>
        </w:rPr>
        <w:t>合同生效及其它</w:t>
      </w:r>
      <w:bookmarkEnd w:id="1316"/>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1.本合同一式</w:t>
      </w:r>
      <w:r>
        <w:rPr>
          <w:rFonts w:hint="eastAsia" w:ascii="宋体" w:hAnsi="宋体" w:eastAsia="宋体" w:cs="宋体"/>
          <w:color w:val="auto"/>
          <w:sz w:val="24"/>
          <w:highlight w:val="none"/>
          <w:lang w:val="en-US" w:eastAsia="zh-CN"/>
        </w:rPr>
        <w:t>陆</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 xml:space="preserve">份，乙方贰份。 </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.本合同签订于     年     月    日，于甲、乙双方签字盖章之日起生效。</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.本合同应按照中华人民共和国的现行法律进行解释。</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.如有未尽事宜，由双方依法订立补充合同。</w:t>
      </w:r>
    </w:p>
    <w:p>
      <w:pPr>
        <w:keepNext w:val="0"/>
        <w:keepLines w:val="0"/>
        <w:pageBreakBefore w:val="0"/>
        <w:widowControl w:val="0"/>
        <w:numPr>
          <w:ilvl w:val="1"/>
          <w:numId w:val="40"/>
        </w:numPr>
        <w:kinsoku/>
        <w:wordWrap w:val="0"/>
        <w:overflowPunct/>
        <w:topLinePunct/>
        <w:autoSpaceDE/>
        <w:autoSpaceDN/>
        <w:bidi w:val="0"/>
        <w:adjustRightInd w:val="0"/>
        <w:snapToGrid w:val="0"/>
        <w:spacing w:line="44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17" w:name="_Toc26960"/>
      <w:r>
        <w:rPr>
          <w:rFonts w:hint="eastAsia" w:ascii="宋体" w:hAnsi="宋体" w:eastAsia="宋体" w:cs="宋体"/>
          <w:b/>
          <w:bCs/>
          <w:color w:val="auto"/>
          <w:kern w:val="2"/>
          <w:sz w:val="24"/>
          <w:szCs w:val="24"/>
          <w:highlight w:val="none"/>
          <w:lang w:val="en-US" w:eastAsia="zh-CN" w:bidi="ar-SA"/>
        </w:rPr>
        <w:t>组成本合同的有关附件</w:t>
      </w:r>
      <w:bookmarkEnd w:id="1317"/>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本项目的招标文件、乙方投标文件或与本次采购活动方式相适应的文件及有关附件是本合同不可分割的组成部分，若本合同内容与以下文件不相符，以下列文件内容为准。</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1.项目招标文件</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2.项目修改澄清文件（如有）</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3.项目</w:t>
      </w:r>
      <w:r>
        <w:rPr>
          <w:rFonts w:hint="eastAsia" w:cs="宋体"/>
          <w:color w:val="auto"/>
          <w:highlight w:val="none"/>
          <w:lang w:eastAsia="zh-CN"/>
        </w:rPr>
        <w:t>投标文件</w:t>
      </w:r>
    </w:p>
    <w:p>
      <w:pPr>
        <w:keepNext w:val="0"/>
        <w:keepLines w:val="0"/>
        <w:pageBreakBefore w:val="0"/>
        <w:widowControl w:val="0"/>
        <w:kinsoku/>
        <w:overflowPunct/>
        <w:autoSpaceDE/>
        <w:autoSpaceDN/>
        <w:bidi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cs="宋体"/>
          <w:color w:val="auto"/>
          <w:highlight w:val="none"/>
          <w:lang w:eastAsia="zh-CN"/>
        </w:rPr>
        <w:t>中标</w:t>
      </w:r>
      <w:r>
        <w:rPr>
          <w:rFonts w:hint="eastAsia" w:ascii="宋体" w:hAnsi="宋体" w:eastAsia="宋体" w:cs="宋体"/>
          <w:color w:val="auto"/>
          <w:highlight w:val="none"/>
        </w:rPr>
        <w:t>通知书</w:t>
      </w:r>
    </w:p>
    <w:p>
      <w:pPr>
        <w:pStyle w:val="39"/>
        <w:keepNext w:val="0"/>
        <w:keepLines w:val="0"/>
        <w:pageBreakBefore/>
        <w:widowControl w:val="0"/>
        <w:kinsoku/>
        <w:wordWrap/>
        <w:overflowPunct/>
        <w:topLinePunct w:val="0"/>
        <w:autoSpaceDE/>
        <w:autoSpaceDN/>
        <w:bidi w:val="0"/>
        <w:adjustRightInd w:val="0"/>
        <w:snapToGrid w:val="0"/>
        <w:spacing w:before="313" w:beforeLines="100" w:after="313" w:afterLines="100"/>
        <w:jc w:val="center"/>
        <w:textAlignment w:val="auto"/>
        <w:rPr>
          <w:rFonts w:hint="eastAsia"/>
          <w:b/>
          <w:bCs/>
          <w:color w:val="auto"/>
          <w:highlight w:val="none"/>
        </w:rPr>
      </w:pPr>
      <w:r>
        <w:rPr>
          <w:rFonts w:hint="eastAsia"/>
          <w:b/>
          <w:bCs/>
          <w:color w:val="auto"/>
          <w:highlight w:val="none"/>
          <w:lang w:val="en-US" w:eastAsia="zh-CN"/>
        </w:rPr>
        <w:t>(本页无正文)</w:t>
      </w:r>
    </w:p>
    <w:tbl>
      <w:tblPr>
        <w:tblStyle w:val="19"/>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甲方：   (盖章)</w:t>
            </w:r>
          </w:p>
        </w:tc>
        <w:tc>
          <w:tcPr>
            <w:tcW w:w="4981" w:type="dxa"/>
            <w:vAlign w:val="center"/>
          </w:tcPr>
          <w:p>
            <w:pPr>
              <w:pStyle w:val="25"/>
              <w:bidi w:val="0"/>
              <w:rPr>
                <w:rFonts w:hint="eastAsia"/>
                <w:color w:val="auto"/>
                <w:highlight w:val="none"/>
              </w:rPr>
            </w:pPr>
            <w:r>
              <w:rPr>
                <w:rFonts w:hint="eastAsia"/>
                <w:color w:val="auto"/>
                <w:highlight w:val="none"/>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法定代表人(授权代表)：</w:t>
            </w:r>
          </w:p>
        </w:tc>
        <w:tc>
          <w:tcPr>
            <w:tcW w:w="4981" w:type="dxa"/>
            <w:vAlign w:val="center"/>
          </w:tcPr>
          <w:p>
            <w:pPr>
              <w:pStyle w:val="25"/>
              <w:bidi w:val="0"/>
              <w:rPr>
                <w:rFonts w:hint="eastAsia"/>
                <w:color w:val="auto"/>
                <w:highlight w:val="none"/>
              </w:rPr>
            </w:pPr>
            <w:r>
              <w:rPr>
                <w:rFonts w:hint="eastAsia"/>
                <w:color w:val="auto"/>
                <w:highlight w:val="none"/>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地址</w:t>
            </w:r>
            <w:r>
              <w:rPr>
                <w:rFonts w:hint="eastAsia"/>
                <w:color w:val="auto"/>
                <w:highlight w:val="none"/>
                <w:lang w:eastAsia="zh-CN"/>
              </w:rPr>
              <w:t>(</w:t>
            </w:r>
            <w:r>
              <w:rPr>
                <w:rFonts w:hint="eastAsia"/>
                <w:color w:val="auto"/>
                <w:highlight w:val="none"/>
              </w:rPr>
              <w:t>住所</w:t>
            </w:r>
            <w:r>
              <w:rPr>
                <w:rFonts w:hint="eastAsia"/>
                <w:color w:val="auto"/>
                <w:highlight w:val="none"/>
                <w:lang w:eastAsia="zh-CN"/>
              </w:rPr>
              <w:t>)</w:t>
            </w:r>
            <w:r>
              <w:rPr>
                <w:rFonts w:hint="eastAsia"/>
                <w:color w:val="auto"/>
                <w:highlight w:val="none"/>
              </w:rPr>
              <w:t>：</w:t>
            </w:r>
          </w:p>
        </w:tc>
        <w:tc>
          <w:tcPr>
            <w:tcW w:w="4981" w:type="dxa"/>
            <w:vAlign w:val="center"/>
          </w:tcPr>
          <w:p>
            <w:pPr>
              <w:pStyle w:val="25"/>
              <w:bidi w:val="0"/>
              <w:rPr>
                <w:rFonts w:hint="eastAsia"/>
                <w:color w:val="auto"/>
                <w:highlight w:val="none"/>
              </w:rPr>
            </w:pPr>
            <w:r>
              <w:rPr>
                <w:rFonts w:hint="eastAsia"/>
                <w:color w:val="auto"/>
                <w:highlight w:val="none"/>
              </w:rPr>
              <w:t>地址</w:t>
            </w:r>
            <w:r>
              <w:rPr>
                <w:rFonts w:hint="eastAsia"/>
                <w:color w:val="auto"/>
                <w:highlight w:val="none"/>
                <w:lang w:eastAsia="zh-CN"/>
              </w:rPr>
              <w:t>(</w:t>
            </w:r>
            <w:r>
              <w:rPr>
                <w:rFonts w:hint="eastAsia"/>
                <w:color w:val="auto"/>
                <w:highlight w:val="none"/>
              </w:rPr>
              <w:t>住所</w:t>
            </w:r>
            <w:r>
              <w:rPr>
                <w:rFonts w:hint="eastAsia"/>
                <w:color w:val="auto"/>
                <w:highlight w:val="none"/>
                <w:lang w:eastAsia="zh-CN"/>
              </w:rPr>
              <w:t>)</w:t>
            </w:r>
            <w:r>
              <w:rPr>
                <w:rFonts w:hint="eastAsia"/>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开户银行：</w:t>
            </w:r>
          </w:p>
        </w:tc>
        <w:tc>
          <w:tcPr>
            <w:tcW w:w="4981" w:type="dxa"/>
            <w:vAlign w:val="center"/>
          </w:tcPr>
          <w:p>
            <w:pPr>
              <w:pStyle w:val="25"/>
              <w:bidi w:val="0"/>
              <w:rPr>
                <w:rFonts w:hint="eastAsia"/>
                <w:color w:val="auto"/>
                <w:highlight w:val="none"/>
              </w:rPr>
            </w:pPr>
            <w:r>
              <w:rPr>
                <w:rFonts w:hint="eastAsia"/>
                <w:color w:val="auto"/>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账号：</w:t>
            </w:r>
          </w:p>
        </w:tc>
        <w:tc>
          <w:tcPr>
            <w:tcW w:w="4981" w:type="dxa"/>
            <w:vAlign w:val="center"/>
          </w:tcPr>
          <w:p>
            <w:pPr>
              <w:pStyle w:val="25"/>
              <w:bidi w:val="0"/>
              <w:rPr>
                <w:rFonts w:hint="eastAsia"/>
                <w:color w:val="auto"/>
                <w:highlight w:val="none"/>
              </w:rPr>
            </w:pPr>
            <w:r>
              <w:rPr>
                <w:rFonts w:hint="eastAsia"/>
                <w:color w:val="auto"/>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25"/>
              <w:bidi w:val="0"/>
              <w:rPr>
                <w:rFonts w:hint="eastAsia"/>
                <w:color w:val="auto"/>
                <w:highlight w:val="none"/>
              </w:rPr>
            </w:pPr>
            <w:r>
              <w:rPr>
                <w:rFonts w:hint="eastAsia"/>
                <w:color w:val="auto"/>
                <w:highlight w:val="none"/>
              </w:rPr>
              <w:t xml:space="preserve">电话： </w:t>
            </w:r>
          </w:p>
        </w:tc>
        <w:tc>
          <w:tcPr>
            <w:tcW w:w="4981" w:type="dxa"/>
            <w:vAlign w:val="center"/>
          </w:tcPr>
          <w:p>
            <w:pPr>
              <w:pStyle w:val="25"/>
              <w:bidi w:val="0"/>
              <w:rPr>
                <w:rFonts w:hint="eastAsia"/>
                <w:color w:val="auto"/>
                <w:highlight w:val="none"/>
              </w:rPr>
            </w:pPr>
            <w:r>
              <w:rPr>
                <w:rFonts w:hint="eastAsia"/>
                <w:color w:val="auto"/>
                <w:highlight w:val="none"/>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25"/>
              <w:bidi w:val="0"/>
              <w:rPr>
                <w:rFonts w:hint="eastAsia"/>
                <w:color w:val="auto"/>
                <w:highlight w:val="none"/>
              </w:rPr>
            </w:pPr>
            <w:r>
              <w:rPr>
                <w:rFonts w:hint="eastAsia"/>
                <w:color w:val="auto"/>
                <w:highlight w:val="none"/>
              </w:rPr>
              <w:t>传真：</w:t>
            </w:r>
          </w:p>
        </w:tc>
        <w:tc>
          <w:tcPr>
            <w:tcW w:w="4981" w:type="dxa"/>
            <w:vAlign w:val="center"/>
          </w:tcPr>
          <w:p>
            <w:pPr>
              <w:pStyle w:val="25"/>
              <w:bidi w:val="0"/>
              <w:rPr>
                <w:rFonts w:hint="eastAsia"/>
                <w:color w:val="auto"/>
                <w:highlight w:val="none"/>
              </w:rPr>
            </w:pPr>
            <w:r>
              <w:rPr>
                <w:rFonts w:hint="eastAsia"/>
                <w:color w:val="auto"/>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25"/>
              <w:bidi w:val="0"/>
              <w:rPr>
                <w:rFonts w:hint="eastAsia"/>
                <w:color w:val="auto"/>
                <w:highlight w:val="none"/>
              </w:rPr>
            </w:pPr>
            <w:r>
              <w:rPr>
                <w:rFonts w:hint="eastAsia"/>
                <w:color w:val="auto"/>
                <w:highlight w:val="none"/>
              </w:rPr>
              <w:t>签约日期：XX年XX月XX日</w:t>
            </w:r>
          </w:p>
        </w:tc>
        <w:tc>
          <w:tcPr>
            <w:tcW w:w="4981" w:type="dxa"/>
            <w:vAlign w:val="center"/>
          </w:tcPr>
          <w:p>
            <w:pPr>
              <w:pStyle w:val="25"/>
              <w:bidi w:val="0"/>
              <w:rPr>
                <w:rFonts w:hint="eastAsia"/>
                <w:color w:val="auto"/>
                <w:highlight w:val="none"/>
              </w:rPr>
            </w:pPr>
            <w:r>
              <w:rPr>
                <w:rFonts w:hint="eastAsia"/>
                <w:color w:val="auto"/>
                <w:highlight w:val="none"/>
              </w:rPr>
              <w:t>签约日期：XX年XX月XX日</w:t>
            </w:r>
          </w:p>
        </w:tc>
      </w:tr>
    </w:tbl>
    <w:p>
      <w:pPr>
        <w:pStyle w:val="25"/>
        <w:bidi w:val="0"/>
        <w:rPr>
          <w:rFonts w:hint="eastAsia"/>
          <w:color w:val="auto"/>
          <w:highlight w:val="none"/>
        </w:rPr>
      </w:pPr>
      <w:r>
        <w:rPr>
          <w:rFonts w:hint="eastAsia"/>
          <w:color w:val="auto"/>
          <w:highlight w:val="none"/>
        </w:rPr>
        <w:br w:type="page"/>
      </w:r>
    </w:p>
    <w:p>
      <w:pPr>
        <w:pStyle w:val="24"/>
        <w:numPr>
          <w:ilvl w:val="0"/>
          <w:numId w:val="11"/>
        </w:numPr>
        <w:bidi w:val="0"/>
        <w:rPr>
          <w:rFonts w:hint="eastAsia"/>
          <w:color w:val="auto"/>
          <w:highlight w:val="none"/>
          <w:lang w:val="en-US" w:eastAsia="zh-CN"/>
        </w:rPr>
      </w:pPr>
      <w:bookmarkStart w:id="1318" w:name="_Toc28848"/>
      <w:bookmarkStart w:id="1319" w:name="_Toc13967"/>
      <w:r>
        <w:rPr>
          <w:rFonts w:hint="eastAsia"/>
          <w:color w:val="auto"/>
          <w:highlight w:val="none"/>
          <w:lang w:val="en-US" w:eastAsia="zh-CN"/>
        </w:rPr>
        <w:t>附件</w:t>
      </w:r>
      <w:bookmarkEnd w:id="1318"/>
      <w:bookmarkEnd w:id="1319"/>
    </w:p>
    <w:p>
      <w:pPr>
        <w:pStyle w:val="25"/>
        <w:bidi w:val="0"/>
        <w:jc w:val="both"/>
        <w:rPr>
          <w:rFonts w:hint="eastAsia"/>
          <w:b/>
          <w:bCs/>
          <w:color w:val="auto"/>
          <w:sz w:val="36"/>
          <w:szCs w:val="36"/>
          <w:highlight w:val="none"/>
          <w:lang w:val="en-US" w:eastAsia="zh-CN"/>
        </w:rPr>
      </w:pPr>
      <w:r>
        <w:rPr>
          <w:rFonts w:hint="eastAsia" w:ascii="宋体" w:hAnsi="宋体" w:eastAsia="宋体" w:cs="宋体"/>
          <w:b/>
          <w:bCs/>
          <w:color w:val="auto"/>
          <w:sz w:val="24"/>
          <w:szCs w:val="24"/>
          <w:highlight w:val="none"/>
          <w:lang w:val="en-US" w:eastAsia="zh-CN"/>
        </w:rPr>
        <w:t>附件一：《20</w:t>
      </w:r>
      <w:r>
        <w:rPr>
          <w:rFonts w:hint="eastAsia"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en-US" w:eastAsia="zh-CN"/>
        </w:rPr>
        <w:t>年度信用评价服务效果调查表(供应商)》</w:t>
      </w:r>
    </w:p>
    <w:p>
      <w:pPr>
        <w:pStyle w:val="25"/>
        <w:bidi w:val="0"/>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2021年度信用评价服务效果调查表(供应商)</w:t>
      </w:r>
    </w:p>
    <w:p>
      <w:pPr>
        <w:pStyle w:val="25"/>
        <w:bidi w:val="0"/>
        <w:rPr>
          <w:rFonts w:hint="eastAsia"/>
          <w:color w:val="auto"/>
          <w:highlight w:val="none"/>
          <w:u w:val="single"/>
          <w:lang w:val="en-US" w:eastAsia="zh-CN"/>
        </w:rPr>
      </w:pPr>
      <w:r>
        <w:rPr>
          <w:rFonts w:hint="eastAsia"/>
          <w:color w:val="auto"/>
          <w:highlight w:val="none"/>
          <w:lang w:val="en-US" w:eastAsia="zh-CN"/>
        </w:rPr>
        <w:t>项目名称：</w:t>
      </w:r>
      <w:r>
        <w:rPr>
          <w:rFonts w:hint="eastAsia"/>
          <w:color w:val="auto"/>
          <w:highlight w:val="none"/>
          <w:u w:val="single"/>
          <w:lang w:val="en-US" w:eastAsia="zh-CN"/>
        </w:rPr>
        <w:t xml:space="preserve">                               </w:t>
      </w:r>
    </w:p>
    <w:p>
      <w:pPr>
        <w:pStyle w:val="25"/>
        <w:bidi w:val="0"/>
        <w:rPr>
          <w:rFonts w:hint="eastAsia"/>
          <w:color w:val="auto"/>
          <w:highlight w:val="none"/>
          <w:u w:val="single"/>
          <w:lang w:val="en-US" w:eastAsia="zh-CN"/>
        </w:rPr>
      </w:pPr>
      <w:r>
        <w:rPr>
          <w:rFonts w:hint="eastAsia"/>
          <w:color w:val="auto"/>
          <w:highlight w:val="none"/>
          <w:lang w:val="en-US" w:eastAsia="zh-CN"/>
        </w:rPr>
        <w:t>项目编号：</w:t>
      </w:r>
      <w:r>
        <w:rPr>
          <w:rFonts w:hint="eastAsia"/>
          <w:color w:val="auto"/>
          <w:highlight w:val="none"/>
          <w:u w:val="single"/>
          <w:lang w:val="en-US" w:eastAsia="zh-CN"/>
        </w:rPr>
        <w:t xml:space="preserve">                               </w:t>
      </w:r>
    </w:p>
    <w:p>
      <w:pPr>
        <w:pStyle w:val="25"/>
        <w:bidi w:val="0"/>
        <w:rPr>
          <w:rFonts w:hint="eastAsia"/>
          <w:color w:val="auto"/>
          <w:highlight w:val="none"/>
          <w:lang w:val="en-US" w:eastAsia="zh-CN"/>
        </w:rPr>
      </w:pPr>
      <w:r>
        <w:rPr>
          <w:rFonts w:hint="eastAsia"/>
          <w:color w:val="auto"/>
          <w:highlight w:val="none"/>
          <w:lang w:val="en-US" w:eastAsia="zh-CN"/>
        </w:rPr>
        <w:t>被评价代理机构名称：四川乾新招投标代理有限公司</w:t>
      </w:r>
    </w:p>
    <w:tbl>
      <w:tblPr>
        <w:tblStyle w:val="18"/>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9"/>
        <w:gridCol w:w="2430"/>
        <w:gridCol w:w="1530"/>
        <w:gridCol w:w="1530"/>
        <w:gridCol w:w="153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lang w:val="en-US" w:eastAsia="zh-CN"/>
              </w:rPr>
            </w:pPr>
            <w:r>
              <w:rPr>
                <w:rFonts w:hint="eastAsia"/>
                <w:b/>
                <w:bCs/>
                <w:color w:val="auto"/>
                <w:highlight w:val="none"/>
                <w:lang w:val="en-US" w:eastAsia="zh-CN"/>
              </w:rPr>
              <w:t xml:space="preserve">满意 </w:t>
            </w:r>
          </w:p>
          <w:p>
            <w:pPr>
              <w:pStyle w:val="49"/>
              <w:bidi w:val="0"/>
              <w:rPr>
                <w:rFonts w:hint="eastAsia"/>
                <w:b/>
                <w:bCs/>
                <w:color w:val="auto"/>
                <w:highlight w:val="none"/>
              </w:rPr>
            </w:pPr>
            <w:r>
              <w:rPr>
                <w:rFonts w:hint="eastAsia"/>
                <w:b/>
                <w:bCs/>
                <w:color w:val="auto"/>
                <w:highlight w:val="none"/>
                <w:lang w:val="en-US" w:eastAsia="zh-CN"/>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lang w:val="en-US" w:eastAsia="zh-CN"/>
              </w:rPr>
            </w:pPr>
            <w:r>
              <w:rPr>
                <w:rFonts w:hint="eastAsia"/>
                <w:b/>
                <w:bCs/>
                <w:color w:val="auto"/>
                <w:highlight w:val="none"/>
                <w:lang w:val="en-US" w:eastAsia="zh-CN"/>
              </w:rPr>
              <w:t xml:space="preserve">基本满意 </w:t>
            </w:r>
          </w:p>
          <w:p>
            <w:pPr>
              <w:pStyle w:val="49"/>
              <w:bidi w:val="0"/>
              <w:rPr>
                <w:rFonts w:hint="eastAsia"/>
                <w:b/>
                <w:bCs/>
                <w:color w:val="auto"/>
                <w:highlight w:val="none"/>
              </w:rPr>
            </w:pPr>
            <w:r>
              <w:rPr>
                <w:rFonts w:hint="eastAsia"/>
                <w:b/>
                <w:bCs/>
                <w:color w:val="auto"/>
                <w:highlight w:val="none"/>
                <w:lang w:val="en-US" w:eastAsia="zh-CN"/>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lang w:val="en-US" w:eastAsia="zh-CN"/>
              </w:rPr>
            </w:pPr>
            <w:r>
              <w:rPr>
                <w:rFonts w:hint="eastAsia"/>
                <w:b/>
                <w:bCs/>
                <w:color w:val="auto"/>
                <w:highlight w:val="none"/>
                <w:lang w:val="en-US" w:eastAsia="zh-CN"/>
              </w:rPr>
              <w:t xml:space="preserve">一般 </w:t>
            </w:r>
          </w:p>
          <w:p>
            <w:pPr>
              <w:pStyle w:val="49"/>
              <w:bidi w:val="0"/>
              <w:rPr>
                <w:rFonts w:hint="eastAsia"/>
                <w:b/>
                <w:bCs/>
                <w:color w:val="auto"/>
                <w:highlight w:val="none"/>
              </w:rPr>
            </w:pPr>
            <w:r>
              <w:rPr>
                <w:rFonts w:hint="eastAsia"/>
                <w:b/>
                <w:bCs/>
                <w:color w:val="auto"/>
                <w:highlight w:val="none"/>
                <w:lang w:val="en-US" w:eastAsia="zh-CN"/>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lang w:val="en-US" w:eastAsia="zh-CN"/>
              </w:rPr>
            </w:pPr>
            <w:r>
              <w:rPr>
                <w:rFonts w:hint="eastAsia"/>
                <w:b/>
                <w:bCs/>
                <w:color w:val="auto"/>
                <w:highlight w:val="none"/>
                <w:lang w:val="en-US" w:eastAsia="zh-CN"/>
              </w:rPr>
              <w:t>不满意</w:t>
            </w:r>
          </w:p>
          <w:p>
            <w:pPr>
              <w:pStyle w:val="49"/>
              <w:bidi w:val="0"/>
              <w:rPr>
                <w:rFonts w:hint="eastAsia"/>
                <w:b/>
                <w:bCs/>
                <w:color w:val="auto"/>
                <w:highlight w:val="none"/>
              </w:rPr>
            </w:pPr>
            <w:r>
              <w:rPr>
                <w:rFonts w:hint="eastAsia"/>
                <w:b/>
                <w:bCs/>
                <w:color w:val="auto"/>
                <w:highlight w:val="none"/>
                <w:lang w:val="en-US" w:eastAsia="zh-CN"/>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政府采购信息公告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r>
              <w:rPr>
                <w:rFonts w:hint="eastAsia"/>
                <w:b/>
                <w:bCs/>
                <w:color w:val="auto"/>
                <w:highlight w:val="none"/>
                <w:lang w:val="en-US" w:eastAsia="zh-CN"/>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9"/>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5"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6"/>
              <w:bidi w:val="0"/>
              <w:rPr>
                <w:rFonts w:hint="eastAsia"/>
                <w:b/>
                <w:bCs/>
                <w:color w:val="auto"/>
                <w:highlight w:val="none"/>
                <w:lang w:val="en-US" w:eastAsia="zh-CN"/>
              </w:rPr>
            </w:pPr>
            <w:r>
              <w:rPr>
                <w:rFonts w:hint="eastAsia"/>
                <w:b/>
                <w:bCs/>
                <w:color w:val="auto"/>
                <w:highlight w:val="none"/>
                <w:lang w:val="en-US" w:eastAsia="zh-CN"/>
              </w:rPr>
              <w:t>对代理机构工作的其他建议：</w:t>
            </w: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rPr>
                <w:rFonts w:hint="eastAsia"/>
                <w:b/>
                <w:bCs/>
                <w:color w:val="auto"/>
                <w:highlight w:val="none"/>
                <w:lang w:val="en-US" w:eastAsia="zh-CN"/>
              </w:rPr>
            </w:pPr>
          </w:p>
          <w:p>
            <w:pPr>
              <w:pStyle w:val="46"/>
              <w:bidi w:val="0"/>
              <w:ind w:firstLine="4849" w:firstLineChars="2300"/>
              <w:rPr>
                <w:rFonts w:hint="eastAsia"/>
                <w:b/>
                <w:bCs/>
                <w:color w:val="auto"/>
                <w:highlight w:val="none"/>
                <w:lang w:val="en-US" w:eastAsia="zh-CN"/>
              </w:rPr>
            </w:pPr>
            <w:r>
              <w:rPr>
                <w:rFonts w:hint="eastAsia"/>
                <w:b/>
                <w:bCs/>
                <w:color w:val="auto"/>
                <w:highlight w:val="none"/>
                <w:lang w:val="en-US" w:eastAsia="zh-CN"/>
              </w:rPr>
              <w:t>供应商名称：</w:t>
            </w:r>
            <w:r>
              <w:rPr>
                <w:rFonts w:hint="eastAsia"/>
                <w:b/>
                <w:bCs/>
                <w:color w:val="auto"/>
                <w:highlight w:val="none"/>
                <w:u w:val="single"/>
                <w:lang w:val="en-US" w:eastAsia="zh-CN"/>
              </w:rPr>
              <w:t xml:space="preserve">                     </w:t>
            </w:r>
            <w:r>
              <w:rPr>
                <w:rFonts w:hint="eastAsia"/>
                <w:b/>
                <w:bCs/>
                <w:color w:val="auto"/>
                <w:highlight w:val="none"/>
                <w:lang w:val="en-US" w:eastAsia="zh-CN"/>
              </w:rPr>
              <w:t>(加盖鲜章)</w:t>
            </w:r>
          </w:p>
        </w:tc>
      </w:tr>
    </w:tbl>
    <w:p>
      <w:pPr>
        <w:pStyle w:val="50"/>
        <w:bidi w:val="0"/>
        <w:rPr>
          <w:rFonts w:hint="eastAsia"/>
          <w:color w:val="auto"/>
          <w:highlight w:val="none"/>
          <w:lang w:val="en-US" w:eastAsia="zh-CN"/>
        </w:rPr>
      </w:pPr>
      <w:r>
        <w:rPr>
          <w:rFonts w:hint="eastAsia"/>
          <w:color w:val="auto"/>
          <w:highlight w:val="none"/>
          <w:lang w:val="en-US" w:eastAsia="zh-CN"/>
        </w:rPr>
        <w:t>说明：请贵公司根据政府采购代理机构2021年度政府采购项目的实际情况，在“满意”、“基本满意”、“一般”、“不满意”四个评价档次栏中选取一栏打“√”，并加盖鲜章。</w:t>
      </w:r>
    </w:p>
    <w:p>
      <w:pPr>
        <w:rPr>
          <w:rFonts w:hint="eastAsia"/>
          <w:color w:val="auto"/>
          <w:highlight w:val="none"/>
          <w:lang w:val="en-US" w:eastAsia="zh-CN"/>
        </w:rPr>
      </w:pPr>
      <w:r>
        <w:rPr>
          <w:rFonts w:hint="eastAsia"/>
          <w:color w:val="auto"/>
          <w:highlight w:val="none"/>
          <w:lang w:val="en-US" w:eastAsia="zh-CN"/>
        </w:rPr>
        <w:br w:type="page"/>
      </w:r>
    </w:p>
    <w:p>
      <w:pPr>
        <w:pStyle w:val="25"/>
        <w:bidi w:val="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附件二</w:t>
      </w:r>
    </w:p>
    <w:p>
      <w:pPr>
        <w:widowControl/>
        <w:spacing w:line="33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统计上大中小微型企业划分标准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445"/>
        <w:gridCol w:w="747"/>
        <w:gridCol w:w="1186"/>
        <w:gridCol w:w="1796"/>
        <w:gridCol w:w="150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2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行业名称</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指标名称</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计量</w:t>
            </w:r>
            <w:r>
              <w:rPr>
                <w:rFonts w:hint="eastAsia" w:ascii="宋体" w:hAnsi="宋体" w:cs="宋体"/>
                <w:b/>
                <w:bCs/>
                <w:color w:val="auto"/>
                <w:kern w:val="0"/>
                <w:sz w:val="15"/>
                <w:szCs w:val="15"/>
                <w:highlight w:val="none"/>
              </w:rPr>
              <w:br w:type="textWrapping"/>
            </w:r>
            <w:r>
              <w:rPr>
                <w:rFonts w:hint="eastAsia" w:ascii="宋体" w:hAnsi="宋体" w:cs="宋体"/>
                <w:b/>
                <w:bCs/>
                <w:color w:val="auto"/>
                <w:kern w:val="0"/>
                <w:sz w:val="15"/>
                <w:szCs w:val="15"/>
                <w:highlight w:val="none"/>
              </w:rPr>
              <w:t>单位</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大型</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中型</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小型</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b/>
                <w:bCs/>
                <w:color w:val="auto"/>
                <w:kern w:val="0"/>
                <w:sz w:val="15"/>
                <w:szCs w:val="15"/>
                <w:highlight w:val="none"/>
              </w:rPr>
            </w:pPr>
            <w:r>
              <w:rPr>
                <w:rFonts w:hint="eastAsia" w:ascii="宋体" w:hAnsi="宋体" w:cs="宋体"/>
                <w:b/>
                <w:bCs/>
                <w:color w:val="auto"/>
                <w:kern w:val="0"/>
                <w:sz w:val="15"/>
                <w:szCs w:val="15"/>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农、林、牧、渔业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Y≥20000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500≤Y＜20000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50≤Y＜500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工业 *</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20≤X＜300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Y≥40000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2000≤Y＜40000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300≤Y＜2000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Y≥80000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6000≤Y＜80000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300≤Y＜6000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资产总额(Z)</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Z≥80000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5000≤Z＜80000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300≤Z＜5000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批发业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20≤X＜200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5≤X＜20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Y≥40000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5000≤Y＜40000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1" w:leftChars="-1" w:hanging="1"/>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1000≤Y＜5000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零售业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50≤X＜300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1" w:leftChars="-1" w:hanging="1"/>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10≤X＜50 </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Y≥20000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500≤Y＜20000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1" w:leftChars="-1" w:hanging="1"/>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100≤Y＜500 </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交通运输业 *</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20≤X＜300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3000≤Y＜30000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200≤Y＜3000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仓储业*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100≤X＜200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20≤X＜100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1000≤Y＜30000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100≤Y＜1000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邮政业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20≤X＜300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2000≤Y＜30000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100≤Y＜2000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住宿业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2000≤Y＜10000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100≤Y＜2000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餐饮业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2000≤Y＜10000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100≤Y＜2000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信息传输业 *</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X≥2000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100≤X＜2000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1000≤Y＜100000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100≤Y＜1000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spacing w:val="-12"/>
                <w:kern w:val="0"/>
                <w:sz w:val="15"/>
                <w:szCs w:val="15"/>
                <w:highlight w:val="none"/>
              </w:rPr>
            </w:pPr>
            <w:r>
              <w:rPr>
                <w:rFonts w:hint="eastAsia" w:ascii="宋体" w:hAnsi="宋体" w:cs="宋体"/>
                <w:color w:val="auto"/>
                <w:spacing w:val="-12"/>
                <w:kern w:val="0"/>
                <w:sz w:val="15"/>
                <w:szCs w:val="15"/>
                <w:highlight w:val="none"/>
              </w:rPr>
              <w:t>软件和信息技术服</w:t>
            </w:r>
            <w:r>
              <w:rPr>
                <w:rFonts w:hint="eastAsia" w:ascii="宋体" w:hAnsi="宋体" w:cs="宋体"/>
                <w:color w:val="auto"/>
                <w:kern w:val="0"/>
                <w:sz w:val="15"/>
                <w:szCs w:val="15"/>
                <w:highlight w:val="none"/>
              </w:rPr>
              <w:t>务业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spacing w:val="-12"/>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1000≤Y＜10000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50≤Y＜1000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房地产开发经营</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Y≥200000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1000≤Y＜200000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100≤Y＜1000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资产总额(Z)</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Z≥10000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5000≤Z＜10000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2000≤Z＜5000   </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物业管理</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营业收入(Y)</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Y≥5000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1000≤Y＜5000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500≤Y＜1000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112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租赁和商务服务业</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2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资产总额(Z)</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万元</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Z≥120000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8000≤Z＜120000</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100≤Z＜8000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2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其他未列明行业 *</w:t>
            </w:r>
          </w:p>
        </w:tc>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从业人员(X)</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w:t>
            </w:r>
          </w:p>
        </w:tc>
        <w:tc>
          <w:tcPr>
            <w:tcW w:w="5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2" w:leftChars="-51" w:hanging="90" w:hangingChars="60"/>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100≤X＜300 </w:t>
            </w:r>
          </w:p>
        </w:tc>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 10≤X＜100</w:t>
            </w:r>
          </w:p>
        </w:tc>
        <w:tc>
          <w:tcPr>
            <w:tcW w:w="5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cs="宋体"/>
                <w:color w:val="auto"/>
                <w:kern w:val="0"/>
                <w:sz w:val="15"/>
                <w:szCs w:val="15"/>
                <w:highlight w:val="none"/>
              </w:rPr>
            </w:pPr>
            <w:r>
              <w:rPr>
                <w:rFonts w:hint="eastAsia" w:ascii="宋体" w:hAnsi="宋体" w:cs="宋体"/>
                <w:color w:val="auto"/>
                <w:kern w:val="0"/>
                <w:sz w:val="15"/>
                <w:szCs w:val="15"/>
                <w:highlight w:val="none"/>
              </w:rPr>
              <w:t>X＜10</w:t>
            </w:r>
          </w:p>
        </w:tc>
      </w:tr>
    </w:tbl>
    <w:p>
      <w:pPr>
        <w:keepNext w:val="0"/>
        <w:keepLines w:val="0"/>
        <w:pageBreakBefore w:val="0"/>
        <w:widowControl/>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说明：</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GB/T4754-2017</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ind w:left="0" w:firstLine="51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pacing w:val="8"/>
          <w:kern w:val="0"/>
          <w:sz w:val="24"/>
          <w:szCs w:val="24"/>
          <w:highlight w:val="none"/>
        </w:rPr>
        <w:t>3.企业划分指标以现行统计制度为准。</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1</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从业人员，是指期末从业人员数，没有期末从业人员数的，采用全年平均人员数代替。</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2</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3</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资产总额，采用资产总计代替。</w:t>
      </w:r>
      <w:r>
        <w:rPr>
          <w:rFonts w:hint="eastAsia" w:ascii="宋体" w:hAnsi="宋体" w:eastAsia="宋体" w:cs="宋体"/>
          <w:b/>
          <w:bCs/>
          <w:color w:val="auto"/>
          <w:sz w:val="24"/>
          <w:szCs w:val="24"/>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b/>
          <w:bCs/>
          <w:color w:val="auto"/>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w:t>
      </w:r>
      <w:r>
        <w:rPr>
          <w:rFonts w:hint="eastAsia"/>
          <w:b/>
          <w:bCs/>
          <w:color w:val="auto"/>
          <w:highlight w:val="none"/>
          <w:lang w:val="en-US" w:eastAsia="zh-CN"/>
        </w:rPr>
        <w:t>《四川省财政厅关于推进四川省政府采购供应商信用融资工作的通知》(川财采〔2018〕123号文)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default" w:ascii="宋体" w:hAnsi="宋体" w:eastAsia="宋体" w:cs="宋体"/>
          <w:b/>
          <w:bCs/>
          <w:i w:val="0"/>
          <w:caps w:val="0"/>
          <w:color w:val="auto"/>
          <w:spacing w:val="0"/>
          <w:sz w:val="24"/>
          <w:szCs w:val="24"/>
          <w:highlight w:val="none"/>
          <w:lang w:val="en-US" w:eastAsia="zh-CN"/>
        </w:rPr>
      </w:pPr>
      <w:r>
        <w:rPr>
          <w:rFonts w:hint="eastAsia"/>
          <w:b/>
          <w:bCs/>
          <w:color w:val="auto"/>
          <w:highlight w:val="none"/>
          <w:lang w:val="en-US" w:eastAsia="zh-CN"/>
        </w:rPr>
        <w:t>查询链接：</w:t>
      </w:r>
      <w:r>
        <w:rPr>
          <w:rFonts w:hint="eastAsia" w:ascii="宋体" w:hAnsi="宋体" w:eastAsia="宋体" w:cs="宋体"/>
          <w:b/>
          <w:bCs/>
          <w:i w:val="0"/>
          <w:caps w:val="0"/>
          <w:color w:val="auto"/>
          <w:spacing w:val="0"/>
          <w:sz w:val="24"/>
          <w:szCs w:val="24"/>
          <w:highlight w:val="none"/>
          <w:lang w:val="en-US" w:eastAsia="zh-CN"/>
        </w:rPr>
        <w:t>http</w:t>
      </w:r>
      <w:r>
        <w:rPr>
          <w:rFonts w:hint="eastAsia" w:cs="宋体"/>
          <w:b/>
          <w:bCs/>
          <w:i w:val="0"/>
          <w:caps w:val="0"/>
          <w:color w:val="auto"/>
          <w:spacing w:val="0"/>
          <w:sz w:val="24"/>
          <w:szCs w:val="24"/>
          <w:highlight w:val="none"/>
          <w:lang w:val="en-US" w:eastAsia="zh-CN"/>
        </w:rPr>
        <w:t>：</w:t>
      </w:r>
      <w:r>
        <w:rPr>
          <w:rFonts w:hint="eastAsia" w:ascii="宋体" w:hAnsi="宋体" w:eastAsia="宋体" w:cs="宋体"/>
          <w:b/>
          <w:bCs/>
          <w:i w:val="0"/>
          <w:caps w:val="0"/>
          <w:color w:val="auto"/>
          <w:spacing w:val="0"/>
          <w:sz w:val="24"/>
          <w:szCs w:val="24"/>
          <w:highlight w:val="none"/>
          <w:lang w:val="en-US" w:eastAsia="zh-CN"/>
        </w:rPr>
        <w:t>//www.ccgp-sichuan.gov.cn/view/staticpags/sjzcfg/40288687657ff75501672fd954532414.html</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color w:val="auto"/>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5302250" cy="1859915"/>
            <wp:effectExtent l="0" t="0" r="6350" b="698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21"/>
                    <a:stretch>
                      <a:fillRect/>
                    </a:stretch>
                  </pic:blipFill>
                  <pic:spPr>
                    <a:xfrm>
                      <a:off x="0" y="0"/>
                      <a:ext cx="5302250" cy="1859915"/>
                    </a:xfrm>
                    <a:prstGeom prst="rect">
                      <a:avLst/>
                    </a:prstGeom>
                    <a:noFill/>
                    <a:ln w="9525">
                      <a:noFill/>
                    </a:ln>
                  </pic:spPr>
                </pic:pic>
              </a:graphicData>
            </a:graphic>
          </wp:inline>
        </w:drawing>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各市</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州</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、扩权县</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市</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财政局，各省直机关、事业单位、团体组织，各金融机构，各采购代理机构，各政府采购供应商：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为贯彻落实党的十九大精神、国务院“放管服”改革决策部署、省委十一届三次全会“大力推进创新驱动发展战略”精神，助力解决政府采购中标、成交供应商资金不足、融资难、融资贵的困难，促进供应商依法诚信参加政府采购活动，根据《中华人民共和国政府采购法》、《四川省人民政府关于印发进一步规范政府采购监管和执行若干规定的通知》</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川府发〔2018〕14号</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等有关规定，现就推进四川省政府采购供应商信用融资工作有关事项通知如下。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一、融资概念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政府采购供应商信用融资</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以下简称“政采贷”</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，是指银行以政府采购供应商信用审查和政府采购信誉为基础，依托政府采购合同，按优于一般企业的贷款程序和利率，直接向申请贷款的供应商发放无财产抵押贷款的一种融资模式。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二、基本原则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一</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财政引导，市场运行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财政部门推进“政采贷”，银行和供应商按照自愿原则参与。供应商自愿选择是否申请“政采贷”，银行依据其内部审查制度和决策程序决定是否为供应商提供融资，自担风险。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二</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建立机制，服务银企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财政部门与银行建立“政采贷”工作机制，推动政府采购政策功能和金融资源的有机结合，拓宽银行的融资业务，助力解决政府采购中标、成交供应商资金不足、融资难、融资贵的困难，促进企业健康发展。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三</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优质优惠，加强扶持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按优于同期一般企业的贷款利率，向政府采购供应商提供信用贷款，贷款额度由银行根据政府采购合同的具体情况确定，不要求申请融资的供应商提供财产抵押或第三方担保，不收取融资利息之外的额外费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三、基本条件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一</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银行暨“政采贷”金融产品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1、征集。</w:t>
      </w:r>
      <w:r>
        <w:rPr>
          <w:rFonts w:hint="eastAsia" w:ascii="宋体" w:hAnsi="宋体" w:eastAsia="宋体" w:cs="宋体"/>
          <w:b w:val="0"/>
          <w:i w:val="0"/>
          <w:caps w:val="0"/>
          <w:color w:val="auto"/>
          <w:spacing w:val="0"/>
          <w:sz w:val="24"/>
          <w:szCs w:val="24"/>
          <w:highlight w:val="none"/>
        </w:rPr>
        <w:t>在四川省行政区域内，有意向开展“政采贷”工作的银行，可以于2018年12月21日前，直接向四川省财政厅</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政府采购监督管理处</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提交书面申请。四川省财政厅可以根据情况每年征集一次有意向开展“政采贷”工作的银行。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申请材料应当包括银行基本情况、“政采贷”产品名称、申请贷款条件、申请贷款方式、申请贷款程序、贷款审查流程、贷款额度、发放贷款时间、收款方式及其他优质服务和优惠承诺等。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银行提供的“政采贷”产品应当满足“无抵押担保、程序简便、利率优惠、放款及时”的基本条件以及本通知其他相关规定。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银行申请材料中应当载明其自愿提供“政采贷”产品，自担风险，不得要求或者变相要求财政部门和采购人为其提供风险担保、承诺。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2、公示。</w:t>
      </w:r>
      <w:r>
        <w:rPr>
          <w:rFonts w:hint="eastAsia" w:ascii="宋体" w:hAnsi="宋体" w:eastAsia="宋体" w:cs="宋体"/>
          <w:b w:val="0"/>
          <w:i w:val="0"/>
          <w:caps w:val="0"/>
          <w:color w:val="auto"/>
          <w:spacing w:val="0"/>
          <w:sz w:val="24"/>
          <w:szCs w:val="24"/>
          <w:highlight w:val="none"/>
        </w:rPr>
        <w:t>四川省财政厅收到银行提交的书面申请后，对满足本通知要求的银行及其“政采贷”产品具体信息，及时在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向社会公示。银行申请材料中提供的“政采贷”产品不满足本通知要求的，四川省财政厅将退回申请，并告知理由。</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二</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政府采购供应商向银行申请“政采贷”，应当满足下列基本条件：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1、</w:t>
      </w:r>
      <w:r>
        <w:rPr>
          <w:rFonts w:hint="eastAsia" w:ascii="宋体" w:hAnsi="宋体" w:eastAsia="宋体" w:cs="宋体"/>
          <w:b w:val="0"/>
          <w:i w:val="0"/>
          <w:caps w:val="0"/>
          <w:color w:val="auto"/>
          <w:spacing w:val="0"/>
          <w:sz w:val="24"/>
          <w:szCs w:val="24"/>
          <w:highlight w:val="none"/>
        </w:rPr>
        <w:t>具有依法承担民事责任的能力；</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2、</w:t>
      </w:r>
      <w:r>
        <w:rPr>
          <w:rFonts w:hint="eastAsia" w:ascii="宋体" w:hAnsi="宋体" w:eastAsia="宋体" w:cs="宋体"/>
          <w:b w:val="0"/>
          <w:i w:val="0"/>
          <w:caps w:val="0"/>
          <w:color w:val="auto"/>
          <w:spacing w:val="0"/>
          <w:sz w:val="24"/>
          <w:szCs w:val="24"/>
          <w:highlight w:val="none"/>
        </w:rPr>
        <w:t>具有依法履行政府采购合同的能力；</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3、</w:t>
      </w:r>
      <w:r>
        <w:rPr>
          <w:rFonts w:hint="eastAsia" w:ascii="宋体" w:hAnsi="宋体" w:eastAsia="宋体" w:cs="宋体"/>
          <w:b w:val="0"/>
          <w:i w:val="0"/>
          <w:caps w:val="0"/>
          <w:color w:val="auto"/>
          <w:spacing w:val="0"/>
          <w:sz w:val="24"/>
          <w:szCs w:val="24"/>
          <w:highlight w:val="none"/>
        </w:rPr>
        <w:t>参加的政府采购活动未被财政部门依法暂停、责令重新开展或者认定中标、成交无效；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4、</w:t>
      </w:r>
      <w:r>
        <w:rPr>
          <w:rFonts w:hint="eastAsia" w:ascii="宋体" w:hAnsi="宋体" w:eastAsia="宋体" w:cs="宋体"/>
          <w:b w:val="0"/>
          <w:i w:val="0"/>
          <w:caps w:val="0"/>
          <w:color w:val="auto"/>
          <w:spacing w:val="0"/>
          <w:sz w:val="24"/>
          <w:szCs w:val="24"/>
          <w:highlight w:val="none"/>
        </w:rPr>
        <w:t>无《政府采购法》第二十二条第一款第</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五</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项所称的重大违法记录；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5、</w:t>
      </w:r>
      <w:r>
        <w:rPr>
          <w:rFonts w:hint="eastAsia" w:ascii="宋体" w:hAnsi="宋体" w:eastAsia="宋体" w:cs="宋体"/>
          <w:b w:val="0"/>
          <w:i w:val="0"/>
          <w:caps w:val="0"/>
          <w:color w:val="auto"/>
          <w:spacing w:val="0"/>
          <w:sz w:val="24"/>
          <w:szCs w:val="24"/>
          <w:highlight w:val="none"/>
        </w:rPr>
        <w:t>未被法院、市场监管、税务、银行等部门单位纳入失信名单且在有效期内；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6、</w:t>
      </w:r>
      <w:r>
        <w:rPr>
          <w:rFonts w:hint="eastAsia" w:ascii="宋体" w:hAnsi="宋体" w:eastAsia="宋体" w:cs="宋体"/>
          <w:b w:val="0"/>
          <w:i w:val="0"/>
          <w:caps w:val="0"/>
          <w:color w:val="auto"/>
          <w:spacing w:val="0"/>
          <w:sz w:val="24"/>
          <w:szCs w:val="24"/>
          <w:highlight w:val="none"/>
        </w:rPr>
        <w:t>在一定期限内的</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银行可以具体确定</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政府采购合同履约过程中或者其他经营活动履约过程中，无不依法履约被有关行政部门行政处罚的或者产生法律纠纷被法院、仲裁机构判决、裁决败诉的；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i w:val="0"/>
          <w:caps w:val="0"/>
          <w:color w:val="auto"/>
          <w:spacing w:val="0"/>
          <w:sz w:val="24"/>
          <w:szCs w:val="24"/>
          <w:highlight w:val="none"/>
        </w:rPr>
        <w:t>7、</w:t>
      </w:r>
      <w:r>
        <w:rPr>
          <w:rFonts w:hint="eastAsia" w:ascii="宋体" w:hAnsi="宋体" w:eastAsia="宋体" w:cs="宋体"/>
          <w:b w:val="0"/>
          <w:i w:val="0"/>
          <w:caps w:val="0"/>
          <w:color w:val="auto"/>
          <w:spacing w:val="0"/>
          <w:sz w:val="24"/>
          <w:szCs w:val="24"/>
          <w:highlight w:val="none"/>
        </w:rPr>
        <w:t>其他银行要求的不属于提供财产抵押或第三方担保的条件。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四、构建平台</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四川省财政厅将在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统一构建四川省“政采贷”信息化服务平台，推进四川省“政采贷”工作信息化建设。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五、财金互动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各级财政部门应当按照《四川省政府采购促进中小企业发展的若干规定》</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川财采[2016]35号</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等有关规定，对金融机构向小微企业提供“政采贷”贷款产生的损失，纳入财政金融互动政策范围给予风险补贴。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六、基本流程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一</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意向申请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有融资需求的供应商可根据</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公示的银行及其“政采贷”产品，自行选择符合自身情况的“政采贷”银行及其产品，凭中标</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成交</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通知书向银行提出贷款意向申请。银行应及时按照有关规定完成对供应商的信用审查以及开设账户等相关工作。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b/>
          <w:i w:val="0"/>
          <w:caps w:val="0"/>
          <w:color w:val="auto"/>
          <w:spacing w:val="0"/>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二</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正式申请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供应商与采购人在法定时间依法签订政府采购合同</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政府采购合同签订后，应当依法在7个工作日内向同级财政部门备案，2个工作日内在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公告</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后，可凭政府采购合同向银行提出“政采贷”正式申请。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对拟用于“政采贷”的政府采购合同，应在合同中注明贷款银行名称及账号，作为供应商本次采购的唯一收款账号。因发生特殊情况需要在还款前变更收款账号的，供应商应当事前书面告知采购人和放款银行，并获得采购人和放款银行同意。采购人和放款银行同意后，采购人与供应商应当就该条款重新签订政府采购合同或者签订补充协议作为原政府采购合同的一部分，并在签订后依法在7个工作日内向同级财政部门备案，2个工作日内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三</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贷款审查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按规定对申请“政采贷”的供应商及其提供的政府采购合同等信息进行审查。审查过程中，银行认为有必要的，可以到采购人、采购代理机构或者财政部门对该政府采购合同的书面信息与备案信息进行核实，有关单位应当配合。银行审查通过后，应当按照其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公示的“政采贷”产品服务承诺事项及时放款。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四</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信息报送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银行完成放款后，应当通过四川省“政采贷”信息化服务平台，填写《四川省“政采贷”信息统计表》</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详见附件</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，每季度终了5个工作日内，向四川省财政厅</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政府采购监督管理处</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报送，以便相关部门及时掌握和分析“政采贷”信息，不断推进“政采贷”工作。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五</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资金支付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政府采购资金支付时，采购人必须将采购资金支付到政府采购合同中注明的贷款银行名称及账号，以保障贷款资金的安全回收。采购人不得将采购资金支付在政府采购合同约定以外的收款账号。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政府采购资金支付过程中，银行需要查询采购资金支付进程有关信息的，财政部门和采购人应当支持。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七、职责要求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一</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各级财政部门应当高度重视“政采贷”工作，提高认识，充分发挥自身职能作用。不断完善政策措施，加强对“政采贷”采购项目的跟踪监督，对于银行向采购人、采购代理机构核实或者获取合法范围内的相关政府采购信息有困难的，可以积极进行协调。财政部门不得为“政采贷”提供任何形式的担保和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二</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银行应当切实转变注重抵押担保的传统信贷理念，积极服务经济社会发展的大局，不断完善“政采贷”产品，优化贷款审查流程，简化贷款审查手续，提供更多优质服务，同时做好风险防控工作。银行对于供应商是否如期还款情况及未如期还款的主要原因等信息，应当及时向财政部门反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三</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采购人应当积极支持“政采贷”工作，对于银行、供应商提出的合理需求，应当支持。对于已融资采购项目，供应商履约完成后，要及时开展履约验收工作，及时支付采购资金，不得无故拖延和拒付采购资金。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四</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采购代理机构在组织实施政府采购活动中，应当采取有效方式，向供应商宣传“政采贷”政策。银行需要借用采购代理机构的场所直接向供应商介绍其“政采贷”产品的，采购代理机构应当支持。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五</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供应商应当依法参加政府采购活动，公平竞争，诚实守信，严格按照政府采购合同履约，严格按照借款合同偿还债务。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六</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财政部门、采购人、采购代理机构及其他有关单位和个人不得违规干预供应商选择“政采贷”银行及其产品，也不得违规干预银行向供应商进行贷款。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七</w:t>
      </w:r>
      <w:r>
        <w:rPr>
          <w:rFonts w:hint="eastAsia" w:cs="宋体"/>
          <w:b/>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相关单位和个人在开展“政采贷”工作过程中，发现新问题、新情况或者有意见建议的，请及时向四川省财政厅反馈。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八、违规处理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一</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银行违规处理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银行不按照其在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公示的“政采贷”产品服务承诺事项办理供应商信用融资贷款申请的，由四川省财政厅进行约谈，责令限期整改；拒不整改或者变相拒不整改的，撤销其在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的公示信息，取消其资格，并在1-3年内拒绝接收其再次申请。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二</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供应商违规处理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供应商以政府采购合同造假或者其他造假方式违规申请信用融资的，或者违反有关规定或者约定，导致无法偿还信用融资贷款的，或者拒绝或无故拖延还款付息的，由有关部门单位依法处理，纳入“不具备《中华人民共和国政府采购法》第二十二条第一款第</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二</w:t>
      </w:r>
      <w:r>
        <w:rPr>
          <w:rFonts w:hint="eastAsia" w:cs="宋体"/>
          <w:b w:val="0"/>
          <w:i w:val="0"/>
          <w:caps w:val="0"/>
          <w:color w:val="auto"/>
          <w:spacing w:val="0"/>
          <w:sz w:val="24"/>
          <w:szCs w:val="24"/>
          <w:highlight w:val="none"/>
          <w:lang w:eastAsia="zh-CN"/>
        </w:rPr>
        <w:t>)</w:t>
      </w:r>
      <w:r>
        <w:rPr>
          <w:rFonts w:hint="eastAsia" w:ascii="宋体" w:hAnsi="宋体" w:eastAsia="宋体" w:cs="宋体"/>
          <w:b w:val="0"/>
          <w:i w:val="0"/>
          <w:caps w:val="0"/>
          <w:color w:val="auto"/>
          <w:spacing w:val="0"/>
          <w:sz w:val="24"/>
          <w:szCs w:val="24"/>
          <w:highlight w:val="none"/>
        </w:rPr>
        <w:t>项规定的具有良好的商业信誉条件”名单，并在</w:t>
      </w:r>
      <w:r>
        <w:rPr>
          <w:rFonts w:hint="eastAsia" w:cs="宋体"/>
          <w:b w:val="0"/>
          <w:i w:val="0"/>
          <w:caps w:val="0"/>
          <w:color w:val="auto"/>
          <w:spacing w:val="0"/>
          <w:sz w:val="24"/>
          <w:szCs w:val="24"/>
          <w:highlight w:val="none"/>
          <w:lang w:eastAsia="zh-CN"/>
        </w:rPr>
        <w:t>“四川政府采购网”</w:t>
      </w:r>
      <w:r>
        <w:rPr>
          <w:rFonts w:hint="eastAsia" w:ascii="宋体" w:hAnsi="宋体" w:eastAsia="宋体" w:cs="宋体"/>
          <w:b w:val="0"/>
          <w:i w:val="0"/>
          <w:caps w:val="0"/>
          <w:color w:val="auto"/>
          <w:spacing w:val="0"/>
          <w:sz w:val="24"/>
          <w:szCs w:val="24"/>
          <w:highlight w:val="none"/>
        </w:rPr>
        <w:t>公示。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color w:val="auto"/>
          <w:sz w:val="24"/>
          <w:szCs w:val="24"/>
          <w:highlight w:val="none"/>
        </w:rPr>
      </w:pP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三</w:t>
      </w:r>
      <w:r>
        <w:rPr>
          <w:rFonts w:hint="eastAsia" w:cs="宋体"/>
          <w:b/>
          <w:i w:val="0"/>
          <w:caps w:val="0"/>
          <w:color w:val="auto"/>
          <w:spacing w:val="0"/>
          <w:sz w:val="24"/>
          <w:szCs w:val="24"/>
          <w:highlight w:val="none"/>
          <w:lang w:eastAsia="zh-CN"/>
        </w:rPr>
        <w:t>)</w:t>
      </w:r>
      <w:r>
        <w:rPr>
          <w:rFonts w:hint="eastAsia" w:ascii="宋体" w:hAnsi="宋体" w:eastAsia="宋体" w:cs="宋体"/>
          <w:b/>
          <w:i w:val="0"/>
          <w:caps w:val="0"/>
          <w:color w:val="auto"/>
          <w:spacing w:val="0"/>
          <w:sz w:val="24"/>
          <w:szCs w:val="24"/>
          <w:highlight w:val="none"/>
        </w:rPr>
        <w:t>其他违规处理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sz w:val="24"/>
          <w:szCs w:val="24"/>
          <w:highlight w:val="none"/>
        </w:rPr>
        <w:t>采购人无正当理由拖延和拒付采购资金的，或者采购代理机构拒绝支持银行借用场所向供应商介绍其“政采贷”产品的，或者有关单位或个人违规干预供应商选择“政采贷”银行及其产品的，或者有关单位或个人违规干预银行向供应商进行贷款的，由采购项目同级财政部门进行约谈，责令限期整改；拒不整改或者变相拒不整改的，按照有关规定依法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 </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drawing>
          <wp:anchor distT="0" distB="0" distL="114300" distR="114300" simplePos="0" relativeHeight="251661312" behindDoc="0" locked="0" layoutInCell="1" allowOverlap="1">
            <wp:simplePos x="0" y="0"/>
            <wp:positionH relativeFrom="column">
              <wp:posOffset>3808095</wp:posOffset>
            </wp:positionH>
            <wp:positionV relativeFrom="paragraph">
              <wp:posOffset>1694180</wp:posOffset>
            </wp:positionV>
            <wp:extent cx="1771650" cy="1781175"/>
            <wp:effectExtent l="0" t="0" r="6350" b="9525"/>
            <wp:wrapSquare wrapText="bothSides"/>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22"/>
                    <a:stretch>
                      <a:fillRect/>
                    </a:stretch>
                  </pic:blipFill>
                  <pic:spPr>
                    <a:xfrm>
                      <a:off x="0" y="0"/>
                      <a:ext cx="1771650" cy="1781175"/>
                    </a:xfrm>
                    <a:prstGeom prst="rect">
                      <a:avLst/>
                    </a:prstGeom>
                    <a:noFill/>
                    <a:ln w="9525">
                      <a:noFill/>
                    </a:ln>
                  </pic:spPr>
                </pic:pic>
              </a:graphicData>
            </a:graphic>
          </wp:anchor>
        </w:drawing>
      </w:r>
      <w:r>
        <w:rPr>
          <w:rFonts w:hint="eastAsia" w:ascii="宋体" w:hAnsi="宋体" w:eastAsia="宋体" w:cs="宋体"/>
          <w:color w:val="auto"/>
          <w:sz w:val="24"/>
          <w:szCs w:val="24"/>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：成都市财政局  中国人民银行成都分行营业管理部关于印发《成都市中小企业政府采购信用融资暂行办法》和《成都市级支持中小企业政府采购信用融资实施方案》的通知</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成财采〔2019〕17号</w:t>
      </w:r>
      <w:r>
        <w:rPr>
          <w:rFonts w:hint="eastAsia" w:cs="宋体"/>
          <w:b/>
          <w:bCs/>
          <w:color w:val="auto"/>
          <w:sz w:val="24"/>
          <w:szCs w:val="24"/>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查询链接：</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"http://cdcz.chengdu.gov.cn/cdsczj/c116726/2019-03/13/content_7d81ae9c2a1e48968c7839a9c5b88ccd.shtml" </w:instrText>
      </w:r>
      <w:r>
        <w:rPr>
          <w:rFonts w:hint="eastAsia" w:ascii="宋体" w:hAnsi="宋体" w:eastAsia="宋体" w:cs="宋体"/>
          <w:b/>
          <w:bCs/>
          <w:color w:val="auto"/>
          <w:sz w:val="24"/>
          <w:szCs w:val="24"/>
          <w:highlight w:val="none"/>
          <w:lang w:val="en-US" w:eastAsia="zh-CN"/>
        </w:rPr>
        <w:fldChar w:fldCharType="separate"/>
      </w:r>
      <w:r>
        <w:rPr>
          <w:rStyle w:val="23"/>
          <w:rFonts w:hint="eastAsia" w:ascii="宋体" w:hAnsi="宋体" w:eastAsia="宋体" w:cs="宋体"/>
          <w:b/>
          <w:bCs/>
          <w:color w:val="auto"/>
          <w:sz w:val="24"/>
          <w:szCs w:val="24"/>
          <w:highlight w:val="none"/>
          <w:lang w:val="en-US" w:eastAsia="zh-CN"/>
        </w:rPr>
        <w:t>http</w:t>
      </w:r>
      <w:r>
        <w:rPr>
          <w:rStyle w:val="23"/>
          <w:rFonts w:hint="eastAsia" w:cs="宋体"/>
          <w:b/>
          <w:bCs/>
          <w:color w:val="auto"/>
          <w:sz w:val="24"/>
          <w:szCs w:val="24"/>
          <w:highlight w:val="none"/>
          <w:lang w:val="en-US" w:eastAsia="zh-CN"/>
        </w:rPr>
        <w:t>：</w:t>
      </w:r>
      <w:r>
        <w:rPr>
          <w:rStyle w:val="23"/>
          <w:rFonts w:hint="eastAsia" w:ascii="宋体" w:hAnsi="宋体" w:eastAsia="宋体" w:cs="宋体"/>
          <w:b/>
          <w:bCs/>
          <w:color w:val="auto"/>
          <w:sz w:val="24"/>
          <w:szCs w:val="24"/>
          <w:highlight w:val="none"/>
          <w:lang w:val="en-US" w:eastAsia="zh-CN"/>
        </w:rPr>
        <w:t>//cdcz.chengdu.gov.cn/cdsczj/c116726/2019-03/13/content_7d81ae9c2a1e48968c7839a9c5b88ccd.shtml</w:t>
      </w:r>
      <w:r>
        <w:rPr>
          <w:rFonts w:hint="eastAsia" w:ascii="宋体" w:hAnsi="宋体" w:eastAsia="宋体" w:cs="宋体"/>
          <w:b/>
          <w:bCs/>
          <w:color w:val="auto"/>
          <w:sz w:val="24"/>
          <w:szCs w:val="24"/>
          <w:highlight w:val="none"/>
          <w:lang w:val="en-US" w:eastAsia="zh-CN"/>
        </w:rPr>
        <w:fldChar w:fldCharType="end"/>
      </w:r>
    </w:p>
    <w:p>
      <w:pPr>
        <w:keepNext w:val="0"/>
        <w:keepLines w:val="0"/>
        <w:pageBreakBefore w:val="0"/>
        <w:widowControl/>
        <w:kinsoku/>
        <w:wordWrap w:val="0"/>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tbl>
      <w:tblPr>
        <w:tblStyle w:val="18"/>
        <w:tblW w:w="9062" w:type="dxa"/>
        <w:jc w:val="center"/>
        <w:tblLayout w:type="fixed"/>
        <w:tblCellMar>
          <w:top w:w="0" w:type="dxa"/>
          <w:left w:w="108" w:type="dxa"/>
          <w:bottom w:w="0" w:type="dxa"/>
          <w:right w:w="108" w:type="dxa"/>
        </w:tblCellMar>
      </w:tblPr>
      <w:tblGrid>
        <w:gridCol w:w="7482"/>
        <w:gridCol w:w="1580"/>
      </w:tblGrid>
      <w:tr>
        <w:tblPrEx>
          <w:tblCellMar>
            <w:top w:w="0" w:type="dxa"/>
            <w:left w:w="108" w:type="dxa"/>
            <w:bottom w:w="0" w:type="dxa"/>
            <w:right w:w="108" w:type="dxa"/>
          </w:tblCellMar>
        </w:tblPrEx>
        <w:trPr>
          <w:cantSplit/>
          <w:trHeight w:val="1156" w:hRule="atLeast"/>
          <w:jc w:val="center"/>
        </w:trPr>
        <w:tc>
          <w:tcPr>
            <w:tcW w:w="74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eastAsia="方正小标宋简体"/>
                <w:color w:val="auto"/>
                <w:sz w:val="66"/>
                <w:szCs w:val="66"/>
                <w:highlight w:val="none"/>
              </w:rPr>
            </w:pPr>
            <w:r>
              <w:rPr>
                <w:rFonts w:hint="eastAsia" w:eastAsia="方正小标宋简体"/>
                <w:color w:val="auto"/>
                <w:sz w:val="66"/>
                <w:szCs w:val="66"/>
                <w:highlight w:val="none"/>
              </w:rPr>
              <w:t>成都市财政局</w:t>
            </w:r>
          </w:p>
        </w:tc>
        <w:tc>
          <w:tcPr>
            <w:tcW w:w="15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简体"/>
                <w:color w:val="auto"/>
                <w:sz w:val="66"/>
                <w:szCs w:val="66"/>
                <w:highlight w:val="none"/>
              </w:rPr>
            </w:pPr>
            <w:r>
              <w:rPr>
                <w:rFonts w:hint="eastAsia" w:eastAsia="方正小标宋简体"/>
                <w:color w:val="auto"/>
                <w:sz w:val="66"/>
                <w:szCs w:val="66"/>
                <w:highlight w:val="none"/>
              </w:rPr>
              <w:t>文件</w:t>
            </w:r>
          </w:p>
        </w:tc>
      </w:tr>
      <w:tr>
        <w:tblPrEx>
          <w:tblCellMar>
            <w:top w:w="0" w:type="dxa"/>
            <w:left w:w="108" w:type="dxa"/>
            <w:bottom w:w="0" w:type="dxa"/>
            <w:right w:w="108" w:type="dxa"/>
          </w:tblCellMar>
        </w:tblPrEx>
        <w:trPr>
          <w:cantSplit/>
          <w:trHeight w:val="1335" w:hRule="atLeast"/>
          <w:jc w:val="center"/>
        </w:trPr>
        <w:tc>
          <w:tcPr>
            <w:tcW w:w="74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eastAsia="方正小标宋简体"/>
                <w:color w:val="auto"/>
                <w:spacing w:val="-20"/>
                <w:w w:val="82"/>
                <w:sz w:val="62"/>
                <w:szCs w:val="62"/>
                <w:highlight w:val="none"/>
              </w:rPr>
            </w:pPr>
            <w:r>
              <w:rPr>
                <w:rFonts w:hint="eastAsia" w:eastAsia="方正小标宋简体"/>
                <w:color w:val="auto"/>
                <w:spacing w:val="-20"/>
                <w:w w:val="82"/>
                <w:sz w:val="62"/>
                <w:szCs w:val="62"/>
                <w:highlight w:val="none"/>
              </w:rPr>
              <w:t>中国人民银行成都分行营业管理部</w:t>
            </w:r>
          </w:p>
        </w:tc>
        <w:tc>
          <w:tcPr>
            <w:tcW w:w="15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简体"/>
                <w:color w:val="auto"/>
                <w:sz w:val="66"/>
                <w:szCs w:val="66"/>
                <w:highlight w:val="none"/>
              </w:rPr>
            </w:pPr>
          </w:p>
        </w:tc>
      </w:tr>
    </w:tbl>
    <w:p>
      <w:pPr>
        <w:snapToGrid w:val="0"/>
        <w:jc w:val="center"/>
        <w:rPr>
          <w:rFonts w:hint="eastAsia" w:eastAsia="方正仿宋_GBK"/>
          <w:color w:val="auto"/>
          <w:highlight w:val="none"/>
        </w:rPr>
      </w:pPr>
    </w:p>
    <w:p>
      <w:pPr>
        <w:jc w:val="center"/>
        <w:rPr>
          <w:rFonts w:eastAsia="方正仿宋_GBK"/>
          <w:color w:val="auto"/>
          <w:highlight w:val="none"/>
        </w:rPr>
      </w:pPr>
      <w:r>
        <w:rPr>
          <w:rFonts w:eastAsia="方正仿宋_GBK"/>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320675</wp:posOffset>
                </wp:positionV>
                <wp:extent cx="5618480" cy="0"/>
                <wp:effectExtent l="0" t="9525" r="7620" b="15875"/>
                <wp:wrapNone/>
                <wp:docPr id="9" name="直接连接符 9"/>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25pt;height:0pt;width:442.4pt;z-index:251662336;mso-width-relative:page;mso-height-relative:page;" filled="f" stroked="t" coordsize="21600,21600" o:gfxdata="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O/uPvWAAAABgEAAA8AAAAAAAAAAQAgAAAAIgAAAGRycy9kb3ducmV2LnhtbFBL&#10;AQIUABQAAAAIAIdO4kD5Dvo0+AEAAOUDAAAOAAAAAAAAAAEAIAAAACUBAABkcnMvZTJvRG9jLnht&#10;bFBLBQYAAAAABgAGAFkBAACPBQAAAAA=&#10;">
                <v:fill on="f" focussize="0,0"/>
                <v:stroke weight="1.5pt" color="#FF0000" joinstyle="round"/>
                <v:imagedata o:title=""/>
                <o:lock v:ext="edit" aspectratio="f"/>
              </v:line>
            </w:pict>
          </mc:Fallback>
        </mc:AlternateContent>
      </w:r>
      <w:r>
        <w:rPr>
          <w:rFonts w:eastAsia="方正仿宋_GBK"/>
          <w:color w:val="auto"/>
          <w:highlight w:val="none"/>
        </w:rPr>
        <w:t>成财</w:t>
      </w:r>
      <w:r>
        <w:rPr>
          <w:rFonts w:hint="eastAsia" w:eastAsia="方正仿宋_GBK"/>
          <w:color w:val="auto"/>
          <w:highlight w:val="none"/>
        </w:rPr>
        <w:t>采</w:t>
      </w:r>
      <w:r>
        <w:rPr>
          <w:rFonts w:eastAsia="方正仿宋_GBK"/>
          <w:color w:val="auto"/>
          <w:highlight w:val="none"/>
        </w:rPr>
        <w:t>〔201</w:t>
      </w:r>
      <w:r>
        <w:rPr>
          <w:rFonts w:hint="eastAsia" w:eastAsia="方正仿宋_GBK"/>
          <w:color w:val="auto"/>
          <w:highlight w:val="none"/>
        </w:rPr>
        <w:t>9</w:t>
      </w:r>
      <w:r>
        <w:rPr>
          <w:rFonts w:eastAsia="方正仿宋_GBK"/>
          <w:color w:val="auto"/>
          <w:highlight w:val="none"/>
        </w:rPr>
        <w:t>〕</w:t>
      </w:r>
      <w:r>
        <w:rPr>
          <w:rFonts w:hint="eastAsia" w:eastAsia="方正仿宋_GBK"/>
          <w:color w:val="auto"/>
          <w:highlight w:val="none"/>
        </w:rPr>
        <w:t>17</w:t>
      </w:r>
      <w:r>
        <w:rPr>
          <w:rFonts w:eastAsia="方正仿宋_GBK"/>
          <w:color w:val="auto"/>
          <w:highlight w:val="none"/>
        </w:rPr>
        <w:t>号</w:t>
      </w:r>
    </w:p>
    <w:p>
      <w:pPr>
        <w:topLinePunct/>
        <w:jc w:val="center"/>
        <w:rPr>
          <w:rFonts w:hint="eastAsia" w:ascii="方正小标宋_GBK" w:hAnsi="方正小标宋_GBK" w:eastAsia="方正小标宋_GBK"/>
          <w:color w:val="auto"/>
          <w:highlight w:val="none"/>
        </w:rPr>
      </w:pPr>
    </w:p>
    <w:p>
      <w:pPr>
        <w:topLinePunct/>
        <w:snapToGrid w:val="0"/>
        <w:jc w:val="center"/>
        <w:rPr>
          <w:rFonts w:hint="eastAsia" w:ascii="方正小标宋简体" w:hAnsi="方正小标宋简体" w:eastAsia="方正小标宋简体" w:cs="方正小标宋简体"/>
          <w:color w:val="auto"/>
          <w:spacing w:val="-18"/>
          <w:sz w:val="44"/>
          <w:szCs w:val="44"/>
          <w:highlight w:val="none"/>
        </w:rPr>
      </w:pPr>
      <w:r>
        <w:rPr>
          <w:rFonts w:hint="eastAsia" w:ascii="方正小标宋简体" w:hAnsi="方正小标宋简体" w:eastAsia="方正小标宋简体" w:cs="方正小标宋简体"/>
          <w:color w:val="auto"/>
          <w:spacing w:val="-18"/>
          <w:sz w:val="44"/>
          <w:szCs w:val="44"/>
          <w:highlight w:val="none"/>
        </w:rPr>
        <w:t>成都市财政局  中国人民银行成都分行营业管理部</w:t>
      </w:r>
    </w:p>
    <w:p>
      <w:pPr>
        <w:topLinePunct/>
        <w:snapToGrid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关于印发《成都市中小企业政府采购信用融资</w:t>
      </w:r>
    </w:p>
    <w:p>
      <w:pPr>
        <w:topLinePunct/>
        <w:snapToGrid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暂行办法》和《成都市级支持中小企业</w:t>
      </w:r>
    </w:p>
    <w:p>
      <w:pPr>
        <w:topLinePunct/>
        <w:snapToGrid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政府采购信用融资实施方案》的通知</w:t>
      </w:r>
    </w:p>
    <w:p>
      <w:pPr>
        <w:jc w:val="center"/>
        <w:rPr>
          <w:rFonts w:hint="eastAsia" w:eastAsia="方正仿宋_GBK"/>
          <w:color w:val="auto"/>
          <w:highlight w:val="none"/>
        </w:rPr>
      </w:pP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成都天府新区、高新区财政金融局，各区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县财政局，市级各部门、单位，各银行业金融机构：</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贯彻落实中央、省、市关于支持民营经济健康发展有关精神，进一步发挥政府采购在促进中小企业发展中的政策引导作用，有效缓解中小企业融资难、融资贵问题，市财政局、中国人民银行成都分行营业管理部制定了《成都市中小企业政府采购信用融资暂行办法》和《成都市级支持中小企业政府采购信用融资实施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以下简称《暂行办法》和《实施方案》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，现印发给你们，请按要求贯彻执行。</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一、高度重视、迅速行动</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融资是缓解中小企业资金短缺压力，优化中小企业发展环境，促进经济发展的重要举措，各相关单位要统一思想，充分认识政府采购信用融资工作的重要意义，结合政府采购工作实际精心组织、周密部署，赓即推进政府采购信用融资工作，支持有融资需求、符合条件的中小微企业实现高效融资。</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二、明确责任、压茬推进</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市级各部门、单位即日起严格按照《暂行办法》和《实施方案》相关规定和工作要求，结合职能职责认真抓好贯彻执行。各区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县财政部门要根据《暂行办法》，结合本地实际制定具体实施方案，在涵盖市级确定的融资机构基础上明确融资机构名单，并于2019年6月30日前全面推进政府采购信用融资工作。</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三、优化服务、营造氛围</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相关单位要充分发挥市场在资源配置中的决定性作用，强化宣传引导、优化工作机制、加强跟踪问效，积极创造条件主动服务，为融资双方提供优质高效的服务，让政府采购信用融资政策惠及更多中小微企业，并将工作落实的经验做法及时形成信息反馈市财政局，为推动中小微企业高质量发展营造法治化、国际化、便利化的营商环境。</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附件：1．成都市中小企业政府采购信用融资暂行办法 </w:t>
      </w:r>
    </w:p>
    <w:p>
      <w:pPr>
        <w:keepNext w:val="0"/>
        <w:keepLines w:val="0"/>
        <w:pageBreakBefore w:val="0"/>
        <w:widowControl/>
        <w:kinsoku/>
        <w:wordWrap/>
        <w:overflow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2．成都市级支持中小企业政府采购信用融资实施方案</w:t>
      </w:r>
    </w:p>
    <w:p>
      <w:pPr>
        <w:pStyle w:val="11"/>
        <w:keepNext w:val="0"/>
        <w:keepLines w:val="0"/>
        <w:pageBreakBefore w:val="0"/>
        <w:widowControl/>
        <w:kinsoku/>
        <w:wordWrap/>
        <w:overflowPunct/>
        <w:topLine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p>
    <w:p>
      <w:pPr>
        <w:pStyle w:val="11"/>
        <w:keepNext w:val="0"/>
        <w:keepLines w:val="0"/>
        <w:pageBreakBefore w:val="0"/>
        <w:widowControl/>
        <w:kinsoku/>
        <w:wordWrap/>
        <w:overflowPunct/>
        <w:topLine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p>
    <w:p>
      <w:pPr>
        <w:pStyle w:val="11"/>
        <w:keepNext w:val="0"/>
        <w:keepLines w:val="0"/>
        <w:pageBreakBefore w:val="0"/>
        <w:widowControl/>
        <w:kinsoku/>
        <w:wordWrap/>
        <w:overflowPunct/>
        <w:topLinePunct/>
        <w:autoSpaceDE/>
        <w:autoSpaceDN/>
        <w:bidi w:val="0"/>
        <w:adjustRightInd/>
        <w:snapToGrid/>
        <w:spacing w:line="440" w:lineRule="exact"/>
        <w:ind w:left="0" w:right="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tabs>
          <w:tab w:val="left" w:pos="7584"/>
          <w:tab w:val="clear" w:pos="0"/>
        </w:tabs>
        <w:kinsoku/>
        <w:wordWrap/>
        <w:overflowPunct/>
        <w:topLinePunct/>
        <w:autoSpaceDE/>
        <w:autoSpaceDN/>
        <w:bidi w:val="0"/>
        <w:adjustRightInd/>
        <w:snapToGrid/>
        <w:spacing w:line="440" w:lineRule="exact"/>
        <w:ind w:left="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成都市财政局         中国人民银行成都分行营业管理部</w:t>
      </w:r>
    </w:p>
    <w:p>
      <w:pPr>
        <w:keepNext w:val="0"/>
        <w:keepLines w:val="0"/>
        <w:pageBreakBefore w:val="0"/>
        <w:widowControl/>
        <w:tabs>
          <w:tab w:val="left" w:pos="7584"/>
          <w:tab w:val="clear" w:pos="0"/>
        </w:tabs>
        <w:kinsoku/>
        <w:wordWrap/>
        <w:overflowPunct/>
        <w:topLinePunct/>
        <w:autoSpaceDE/>
        <w:autoSpaceDN/>
        <w:bidi w:val="0"/>
        <w:adjustRightInd/>
        <w:snapToGrid/>
        <w:spacing w:line="440" w:lineRule="exact"/>
        <w:ind w:left="0" w:righ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2019年2月26日</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pageBreakBefore w:val="0"/>
        <w:widowControl w:val="0"/>
        <w:kinsoku/>
        <w:wordWrap/>
        <w:overflowPunct/>
        <w:topLinePunct/>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keepNext w:val="0"/>
        <w:keepLines w:val="0"/>
        <w:pageBreakBefore w:val="0"/>
        <w:widowControl w:val="0"/>
        <w:kinsoku/>
        <w:wordWrap/>
        <w:overflowPunct/>
        <w:topLinePunct/>
        <w:autoSpaceDE/>
        <w:autoSpaceDN/>
        <w:bidi w:val="0"/>
        <w:adjustRightInd/>
        <w:spacing w:line="440" w:lineRule="exact"/>
        <w:ind w:firstLine="0" w:firstLineChars="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napToGrid w:val="0"/>
        <w:spacing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成都市中小企业政府采购信用融资暂行办法</w:t>
      </w:r>
    </w:p>
    <w:p>
      <w:pPr>
        <w:keepNext w:val="0"/>
        <w:keepLines w:val="0"/>
        <w:pageBreakBefore w:val="0"/>
        <w:widowControl w:val="0"/>
        <w:kinsoku/>
        <w:wordWrap/>
        <w:overflowPunct/>
        <w:topLinePunct/>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总  则</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政策依据</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贯彻落实国务院、四川省、成都市关于支持和促进中小企业发展的政策措施，充分发挥政府采购政策导向作用，有效缓解中小企业融资难、融资贵问题，支持中小企业参与政府采购活动，根据《政府采购法》《四川省政府采购促进中小企业发展的若干规定》</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川财采〔2016〕35号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和《四川省财政厅关于推进四川省政府采购供应商信用融资工作的通知》</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川财采〔2018〕123号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有关精神，结合我市实际，制定本办法。</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第二条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适用范围</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成都市行政区域内政府采购信用融资适用本办法。</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第三条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术语定义</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本办法所称政府采购信用融资，是指融资机构以信用审查为基础，依据政府采购合同，按相应的优惠政策向申请融资的中小企业</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以下简称供应商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提供资金支持的融资模式。</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本办法所称融资机构，是指在成都市属地注册或设立分支机构，有意向按照本办法开展政府采购信用融资业务，经同级财政部门确定的银行机构。</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本办法所称中小企业，包括中型、小型及微型企业，其划型标准按照国家相关规定执行。</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第四条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基本原则</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政府采购信用融资工作坚持政府引导、市场主导，自愿选择、自担风险，诚实信用、互惠共赢的原则，切实发挥市场在资源配置中的决定性作用。</w:t>
      </w:r>
    </w:p>
    <w:p>
      <w:pPr>
        <w:keepNext w:val="0"/>
        <w:keepLines w:val="0"/>
        <w:pageBreakBefore w:val="0"/>
        <w:widowControl w:val="0"/>
        <w:kinsoku/>
        <w:wordWrap/>
        <w:overflowPunct/>
        <w:topLinePunct/>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融资优惠</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第五条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融资方式</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供应商无需提供财产抵押或第三方担保，凭借政府采购合同向融资机构申请融资，融资机构根据其授信政策为供应商提供信用贷款。</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第六条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融资额度</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融资额度原则上不超过政府采购合同金额。</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第七条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融资利率</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融资机构向供应商提供融资的利率应低于同期一般中小企业的贷款利率。融资利率上浮比例原则上不超过中国人民银行公布的同期贷款基准利率的30%。</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第八条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融资期限</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融资期限原则上与政府采购合同履行期限一致。</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第九条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融资效率</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融资机构应当建立政府采购信用融资绿色通道，配备专业人员定向服务，简化融资审批程序。对申报材料齐全完备的供应商，原则上应在5个工作日内完成审批，对审批通过且具备放款条件的供应商，原则上应在5个工作日内完成放款。</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融资业务升级</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对履约记录良好、诚信资质高的供应商，融资机构应当在授信额度、融资审查、融资利率等方面给予更大支持，促进供应商依法诚信经营。</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第十一条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贷款风险补贴</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对银行业金融机构向小微企业发放的贷款</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无需抵押、质押或担保的贷款</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损失，财政部门按最高不超过年度新增损失类贷款额的60%予以风险补贴，具体分担比例由各地根据金融机构小微企业贷款发放总量、损失情况、财力状况等因素综合确定。</w:t>
      </w:r>
    </w:p>
    <w:p>
      <w:pPr>
        <w:keepNext w:val="0"/>
        <w:keepLines w:val="0"/>
        <w:pageBreakBefore w:val="0"/>
        <w:widowControl w:val="0"/>
        <w:kinsoku/>
        <w:wordWrap/>
        <w:overflowPunct/>
        <w:topLinePunct/>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融资流程</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第十二条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融资流程</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信息发布。采购人应当在发布的采购公告和采购文件中载明采购项目可提供信用融资的信息。</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融资申请。有融资需求的供应商自主选择提供政府采购信用融资服务的融资机构及产品，并按要求提供申请资料。</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融资审查。融资机构对供应商的融资申请进行审查，并向供应商反馈审查及融资额度等情况。</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账户确认。供应商须在合作融资机构开立结算账户，并与采购人在政府采购合同中或通过签订补充协议的方式约定唯一收款账户，融资机构对唯一收款账户进行确认和锁定。</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放款。融资机构对政府采购合同及融资相关信息进行确认，并向供应商提供相应的融资产品。</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贷款归还。采购人按相关规定和合同约定将合同资金支付至约定的唯一收款账户。</w:t>
      </w:r>
    </w:p>
    <w:p>
      <w:pPr>
        <w:keepNext w:val="0"/>
        <w:keepLines w:val="0"/>
        <w:pageBreakBefore w:val="0"/>
        <w:widowControl w:val="0"/>
        <w:kinsoku/>
        <w:wordWrap/>
        <w:overflowPunct/>
        <w:topLinePunct/>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职责分工</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第十三条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财政部门职责</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牵头政府采购信用融资工作，做好政策引导和支持协调，为开展政府采购信用融资提供便利。向融资机构提供相关必要信息，推进政府采购中标</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信息、合同信息、融资信息和信用信息等信息资源共享。适时调整开展政府采购信用融资业务的融资机构名单。但在政府采购信用融资工作中，财政部门不得提供任何形式的担保和承诺。</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第十四条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融资机构主管部门职责</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引导融资机构依法依规开展政府采购信用融资。推动成都市政府采购监督管理系统与中征应收账款融资服务平台直联，实现政府采购信用融资线上办理，加强与财政部门的信息共享。</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第十五条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采购人职责</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并宣传政府采购信用融资政策，在采购公告和采购文件中载明政府采购信用融资政策。在采购代理机构委托协议中明确政府采购信用融资工作相关要求。畅通银企对接渠道，支持供应商开展政府采购信用融资。依法及时公开政府采购合同信息，协助融资机构确认或更改合同支付信息。及时开展履约验收和资金支付工作，不得无故拖延和拒付采购资金。</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第十六条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融资机构职责</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传和推广政府采购信用融资政策，开发符合政府采购信用融资政策的产品。在做好授信调查的基础上合理确定授信额度。做好融资业务与政府采购业务的系统对接。制定业务管理规范，做好相关风险防控工作。定期向同级财政部门反馈业务开展情况。</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第十七条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供应商职责</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依法诚信参与政府采购活动，严格遵守国家法律、法规和政府采购合同约定，对投标</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响应</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文件的真实性和相关承诺承担法律责任。真实、完整、准确地向融资机构提供信用融资审查所需相关资料。遵照融资约定及时还本付息。</w:t>
      </w:r>
    </w:p>
    <w:p>
      <w:pPr>
        <w:keepNext w:val="0"/>
        <w:keepLines w:val="0"/>
        <w:pageBreakBefore w:val="0"/>
        <w:widowControl w:val="0"/>
        <w:kinsoku/>
        <w:wordWrap/>
        <w:overflowPunct/>
        <w:topLinePunct/>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监督管理</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第十八条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采购人监管</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采购人不执行政府采购信用融资政策，或不正当干预供应商选择合作融资机构，或无故拖延和拒付采购资金的，财政部门视情节进行约谈、通报直至暂停拨付财政资金。</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第十九条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融资机构监管</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融资机构违反规定开展政府采购信用融资业务，对政府采购造成负面影响的，财政部门视情节取消其参与政府采购信用融资的业务权限。</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第二十条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供应商监管</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供应商弄虚作假或以伪造政府采购合同等方式违规获取政府采购信用融资，或不按约定按时还款付息的，融资机构依法追究相关责任。财政部门将其纳入“不具备《政府采购法》第二十二条第一款第</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项规定的具有良好的商业信誉条件”名单并予以公示。</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第二十一条</w:t>
      </w:r>
      <w:bookmarkStart w:id="1320" w:name="BM24558847_25425864_3"/>
      <w:bookmarkEnd w:id="1320"/>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相关单位及工作人员监管</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各相关单位及其工作人员在履行职责中存在滥用职权、玩忽职守、徇私舞弊等违法违纪行为的，依照有关规定处理，涉嫌犯罪的，移送司法机关处理。</w:t>
      </w:r>
    </w:p>
    <w:p>
      <w:pPr>
        <w:keepNext w:val="0"/>
        <w:keepLines w:val="0"/>
        <w:pageBreakBefore w:val="0"/>
        <w:widowControl w:val="0"/>
        <w:kinsoku/>
        <w:wordWrap/>
        <w:overflowPunct/>
        <w:topLinePunct/>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附  则</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第二十二条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解释相关</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本办法由市财政局会同中国人民银行成都分行营业管理部负责解释。</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第二十三条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施行相关</w:t>
      </w:r>
      <w:r>
        <w:rPr>
          <w:rFonts w:hint="eastAsia" w:cs="宋体"/>
          <w:color w:val="auto"/>
          <w:sz w:val="24"/>
          <w:szCs w:val="24"/>
          <w:highlight w:val="none"/>
          <w:lang w:eastAsia="zh-CN"/>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本办法自印发之日起施行。市财政局、市金融办2013年12月9日印发的《关于开展中小企业政府采购信用担保及融资试点工作的通知》</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成财采〔2013〕200号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同时废止。</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val="0"/>
        <w:kinsoku/>
        <w:wordWrap/>
        <w:overflowPunct/>
        <w:topLinePunct/>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napToGrid w:val="0"/>
        <w:spacing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成都市级支持中小企业政府采购</w:t>
      </w:r>
    </w:p>
    <w:p>
      <w:pPr>
        <w:keepNext w:val="0"/>
        <w:keepLines w:val="0"/>
        <w:pageBreakBefore w:val="0"/>
        <w:widowControl w:val="0"/>
        <w:kinsoku/>
        <w:wordWrap/>
        <w:overflowPunct/>
        <w:topLinePunct/>
        <w:autoSpaceDE/>
        <w:autoSpaceDN/>
        <w:bidi w:val="0"/>
        <w:adjustRightInd/>
        <w:snapToGrid w:val="0"/>
        <w:spacing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信用融资实施方案</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央、省、市关于支持民营经济健康发展相关精神和政府采购支持中小企业发展政策，有效缓解中小企业融资难、融资贵问题，支持中小企业参与政府采购活动，促进中小企业发展，根据《成都市中小企业政府采购信用融资暂行办法》</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以下简称《暂行办法》</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，制定本实施方案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以下简称《实施方案》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一、目标任务</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全面贯彻落实国务院、四川省、成都市关于支持中小企业发展精神，充分发挥政府采购扶持中小企业发展的政策功能，持续推进和完善政府采购诚信体系建设，引导融资机构扩大对政府采购中标</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中小企业供应商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以下简称供应商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的融资规模，积极营造良好的营商环境，促进中小企业高质量发展。</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二、适用范围</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本《实施方案》适用于成都市本级政府采购信用融资工作。</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三、基本原则 </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引导、市场主导。坚持政采搭台、市场运作，市财政局、中国人民银行成都分行营业管理部牵头组织并指导市级政府采购信用融资工作，但不参与政府采购信用融资具体业务。融资机构和供应商通过市场化运作的方式开展政府采购信用融资工作。</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自愿选择、自担风险。融资机构自愿选择是否开展政府采购信用融资业务。供应商自主决定是否享受政府采购信用融资政策，并自由选择信用融资合作方。融资机构与供应商自行承担政府采购信用融资的业务风险。</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诚实信用、互惠共赢。引导供应商树立“诚信创造价值”的理念，通过政府采购信用融资支持供应商依法、诚信经营。利用信息化技术搭建信息互通平台，在诚实信用、互惠互利基础上，促进供应商与融资机构实现良性互动、合作共赢。</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四、组织实施</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宣传动员</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相关部门和单位采取多种方式积极宣传《暂行办法》和《实施方案》，落实财政部门、融资机构主管部门、采购人、融资机构等职责任务，明确各项工作目标任务，确保成都市级政府采购信用融资工作有序推进。</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融资机构选择</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1．报名。有意向按照《暂行办法》和《实施方案》开展政府采购信用融资业务的融资机构，由其在蓉最高机构或在蓉最高机构指定的分支机构在市财政局政府采购监督管理处报名。报名需提供以下材料：</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融资机构基本情况；</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政府采购信用融资实施方案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包括授信政策、融资产品、贷款利率及其它优惠措施、业务流程及各环节办结时间、联系方式等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关于遵照《暂行办法》和《实施方案》开展政府采购信用融资业务的承诺；</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关于政府采购信用融资业务风险及系统对接研发费用自行承担的承诺。</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2．系统对接。融资机构成功报名后，须按要求完成政府采购信用融资业务与成都市政府采购监督管理系统的技术对接。</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3．确定融资机构。市财政局将完成系统对接的融资机构确定为我市开展政府采购信用融资业务的融资机构，并在成都市政府采购监督管理系统集中展示，为供应商开展融资提供指引。</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其他事项</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都市级政府采购信用融资工作通过成都市政府采购监督管理系统实行全流程在线管理。成都市政府采购监督管理系统启用前或升级维护期间，市级政府采购信用融资业务按照《暂行办法》相关规定进行离线办理，并在系统正常运行后上传相关信息。</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五、相关要求</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加强组织领导。</w:t>
      </w:r>
      <w:r>
        <w:rPr>
          <w:rFonts w:hint="eastAsia" w:ascii="宋体" w:hAnsi="宋体" w:eastAsia="宋体" w:cs="宋体"/>
          <w:color w:val="auto"/>
          <w:kern w:val="0"/>
          <w:sz w:val="24"/>
          <w:szCs w:val="24"/>
          <w:highlight w:val="none"/>
        </w:rPr>
        <w:t>政府采购信用融资是缓解中小企业资金短缺压力，优化中小企业发展环境，促进我市经济发展的重要举措。市级各部门、单位要统一思想，充分认识此项工作的重要意义，认真抓好政策落实，</w:t>
      </w:r>
      <w:r>
        <w:rPr>
          <w:rFonts w:hint="eastAsia" w:ascii="宋体" w:hAnsi="宋体" w:eastAsia="宋体" w:cs="宋体"/>
          <w:color w:val="auto"/>
          <w:sz w:val="24"/>
          <w:szCs w:val="24"/>
          <w:highlight w:val="none"/>
        </w:rPr>
        <w:t>全面、有序、科学推进政府采购信用融资工作。</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注重协调配合。</w:t>
      </w:r>
      <w:r>
        <w:rPr>
          <w:rFonts w:hint="eastAsia" w:ascii="宋体" w:hAnsi="宋体" w:eastAsia="宋体" w:cs="宋体"/>
          <w:color w:val="auto"/>
          <w:kern w:val="0"/>
          <w:sz w:val="24"/>
          <w:szCs w:val="24"/>
          <w:highlight w:val="none"/>
        </w:rPr>
        <w:t>市财政局、中国人民银行成都分行营业管理部及采购人</w:t>
      </w:r>
      <w:r>
        <w:rPr>
          <w:rFonts w:hint="eastAsia" w:ascii="宋体" w:hAnsi="宋体" w:eastAsia="宋体" w:cs="宋体"/>
          <w:color w:val="auto"/>
          <w:sz w:val="24"/>
          <w:szCs w:val="24"/>
          <w:highlight w:val="none"/>
        </w:rPr>
        <w:t>等有关单位要根据职责任务，及时协调解决工作中遇到的困难和问题，积极</w:t>
      </w:r>
      <w:r>
        <w:rPr>
          <w:rFonts w:hint="eastAsia" w:ascii="宋体" w:hAnsi="宋体" w:eastAsia="宋体" w:cs="宋体"/>
          <w:color w:val="auto"/>
          <w:kern w:val="0"/>
          <w:sz w:val="24"/>
          <w:szCs w:val="24"/>
          <w:highlight w:val="none"/>
        </w:rPr>
        <w:t>创造条件主动服务，帮助有融资需求、符合条件的供应商实现政府采购信用融资，促进中小企业又好又快发展</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强化宣传引导。各相关部门、单位要不断优化工作机制，为中小企业供应商提供优质服务。强化宣传引导，不断扩大政府采购信用融资政策的知晓度。加强跟踪问效，让政府采购信用融资惠及更多中小企业，积极营造良好的营商环境。</w:t>
      </w:r>
    </w:p>
    <w:p>
      <w:pPr>
        <w:pStyle w:val="50"/>
        <w:bidi w:val="0"/>
        <w:rPr>
          <w:rFonts w:hint="eastAsia"/>
          <w:color w:val="auto"/>
          <w:highlight w:val="none"/>
          <w:lang w:val="en-US" w:eastAsia="zh-CN"/>
        </w:rPr>
      </w:pPr>
    </w:p>
    <w:p>
      <w:pPr>
        <w:pStyle w:val="50"/>
        <w:bidi w:val="0"/>
        <w:rPr>
          <w:color w:val="auto"/>
          <w:highlight w:val="none"/>
        </w:rPr>
      </w:pPr>
    </w:p>
    <w:sectPr>
      <w:headerReference r:id="rId15" w:type="first"/>
      <w:footerReference r:id="rId17" w:type="first"/>
      <w:headerReference r:id="rId14" w:type="default"/>
      <w:footerReference r:id="rId16" w:type="default"/>
      <w:pgSz w:w="11906" w:h="16838"/>
      <w:pgMar w:top="1440" w:right="1080" w:bottom="1440" w:left="1080" w:header="851" w:footer="992" w:gutter="0"/>
      <w:pgNumType w:fmt="decimal" w:start="1"/>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D697AB-BBD8-4039-9DF5-05C2B7E53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751A1CB-8A9E-474B-BDFC-5FF952F2BAE5}"/>
  </w:font>
  <w:font w:name="仿宋">
    <w:panose1 w:val="02010609060101010101"/>
    <w:charset w:val="86"/>
    <w:family w:val="modern"/>
    <w:pitch w:val="default"/>
    <w:sig w:usb0="800002BF" w:usb1="38CF7CFA" w:usb2="00000016" w:usb3="00000000" w:csb0="00040001" w:csb1="00000000"/>
    <w:embedRegular r:id="rId3" w:fontKey="{ACEA910C-7EF7-4DF0-B71A-41BA54A60334}"/>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0" w:usb1="00000000" w:usb2="00000000" w:usb3="00000000" w:csb0="00000000" w:csb1="00000000"/>
    <w:embedRegular r:id="rId4" w:fontKey="{353D26C7-DB21-4A6F-83F0-7BBE164F85B2}"/>
  </w:font>
  <w:font w:name="方正仿宋_GBK">
    <w:panose1 w:val="03000509000000000000"/>
    <w:charset w:val="86"/>
    <w:family w:val="script"/>
    <w:pitch w:val="default"/>
    <w:sig w:usb0="00000000" w:usb1="00000000" w:usb2="00000000" w:usb3="00000000" w:csb0="00000000" w:csb1="00000000"/>
    <w:embedRegular r:id="rId5" w:fontKey="{FD72CE85-068D-43B4-98AB-003FFA784F0D}"/>
  </w:font>
  <w:font w:name="方正小标宋_GBK">
    <w:panose1 w:val="02000000000000000000"/>
    <w:charset w:val="86"/>
    <w:family w:val="script"/>
    <w:pitch w:val="default"/>
    <w:sig w:usb0="00000000" w:usb1="00000000" w:usb2="00000000" w:usb3="00000000" w:csb0="00000000" w:csb1="00000000"/>
    <w:embedRegular r:id="rId6" w:fontKey="{4000CAA3-F344-429A-A34B-99EED53500E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ind w:right="360"/>
      <w:rPr>
        <w:rFonts w:hint="eastAsia"/>
        <w:sz w:val="15"/>
        <w:szCs w:val="15"/>
      </w:rPr>
    </w:pPr>
    <w:r>
      <w:rPr>
        <w:rFonts w:ascii="宋体" w:hAnsi="Calibri" w:eastAsia="宋体" w:cs="黑体"/>
        <w:sz w:val="15"/>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snapToGrid w:val="0"/>
                            <w:rPr>
                              <w:rFonts w:hint="eastAsia"/>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3360;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r>
      <w:rPr>
        <w:rFonts w:hint="eastAsia"/>
        <w:sz w:val="15"/>
        <w:szCs w:val="15"/>
      </w:rPr>
      <w:t>地址：</w:t>
    </w:r>
    <w:r>
      <w:rPr>
        <w:rFonts w:hint="eastAsia"/>
        <w:sz w:val="15"/>
        <w:szCs w:val="15"/>
        <w:lang w:eastAsia="zh-CN"/>
      </w:rPr>
      <w:t>成都市高新区吉庆三路333号蜀都中心二期一号楼一单元401号</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邮政编码：610041</w:t>
    </w:r>
  </w:p>
  <w:p>
    <w:pPr>
      <w:pStyle w:val="13"/>
      <w:tabs>
        <w:tab w:val="center" w:pos="4153"/>
        <w:tab w:val="right" w:pos="8306"/>
        <w:tab w:val="clear" w:pos="0"/>
      </w:tabs>
      <w:ind w:right="360"/>
      <w:rPr>
        <w:rFonts w:hint="eastAsia"/>
        <w:lang w:val="en-US" w:eastAsia="zh-CN"/>
      </w:rPr>
    </w:pPr>
    <w:r>
      <w:rPr>
        <w:rFonts w:hint="eastAsia"/>
        <w:sz w:val="15"/>
        <w:szCs w:val="15"/>
      </w:rPr>
      <w:t>电话(TEL)</w:t>
    </w:r>
    <w:r>
      <w:rPr>
        <w:rFonts w:hint="eastAsia"/>
        <w:sz w:val="15"/>
        <w:szCs w:val="15"/>
        <w:lang w:eastAsia="zh-CN"/>
      </w:rPr>
      <w:t>：</w:t>
    </w:r>
    <w:r>
      <w:rPr>
        <w:rFonts w:hint="eastAsia"/>
        <w:sz w:val="15"/>
        <w:szCs w:val="15"/>
      </w:rPr>
      <w:t>86-028-6137557</w:t>
    </w:r>
    <w:r>
      <w:rPr>
        <w:rFonts w:hint="eastAsia"/>
        <w:sz w:val="15"/>
        <w:szCs w:val="15"/>
        <w:lang w:eastAsia="zh-CN"/>
      </w:rPr>
      <w:t>5、</w:t>
    </w:r>
    <w:r>
      <w:rPr>
        <w:rFonts w:hint="eastAsia"/>
        <w:sz w:val="15"/>
        <w:szCs w:val="15"/>
      </w:rPr>
      <w:t xml:space="preserve">62600820、62630990                                           </w:t>
    </w:r>
    <w:r>
      <w:rPr>
        <w:rFonts w:hint="eastAsia"/>
        <w:sz w:val="15"/>
        <w:szCs w:val="15"/>
        <w:lang w:val="en-US" w:eastAsia="zh-CN"/>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传真(FAX)</w:t>
    </w:r>
    <w:r>
      <w:rPr>
        <w:rFonts w:hint="eastAsia"/>
        <w:sz w:val="15"/>
        <w:szCs w:val="15"/>
        <w:lang w:eastAsia="zh-CN"/>
      </w:rPr>
      <w:t>：</w:t>
    </w:r>
    <w:r>
      <w:rPr>
        <w:rFonts w:hint="eastAsia"/>
        <w:sz w:val="15"/>
        <w:szCs w:val="15"/>
        <w:lang w:val="en-US" w:eastAsia="zh-CN"/>
      </w:rPr>
      <w:t>028-</w:t>
    </w:r>
    <w:r>
      <w:rPr>
        <w:rFonts w:hint="eastAsia"/>
        <w:sz w:val="15"/>
        <w:szCs w:val="15"/>
      </w:rPr>
      <w:t>83381</w:t>
    </w:r>
    <w:r>
      <w:rPr>
        <w:rFonts w:hint="eastAsia"/>
        <w:sz w:val="15"/>
        <w:szCs w:val="15"/>
        <w:lang w:val="en-US" w:eastAsia="zh-CN"/>
      </w:rPr>
      <w:t>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 w:val="clear" w:pos="0"/>
      </w:tabs>
      <w:jc w:val="left"/>
      <w:rPr>
        <w:rFonts w:hint="eastAsia"/>
        <w:b/>
        <w:bCs/>
        <w:szCs w:val="18"/>
      </w:rPr>
    </w:pPr>
    <w:r>
      <w:rPr>
        <w:rFonts w:ascii="宋体" w:hAnsi="Calibri" w:eastAsia="宋体" w:cs="黑体"/>
        <w:sz w:val="20"/>
        <w:szCs w:val="11"/>
        <w:lang w:val="zh-CN" w:eastAsia="zh-CN" w:bidi="ar-SA"/>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szCs w:val="18"/>
      </w:rPr>
      <w:t>四川乾新招投标代理有限公司</w:t>
    </w:r>
  </w:p>
  <w:p>
    <w:pPr>
      <w:pStyle w:val="14"/>
      <w:pBdr>
        <w:bottom w:val="single" w:color="auto" w:sz="4" w:space="1"/>
      </w:pBdr>
      <w:tabs>
        <w:tab w:val="center" w:pos="4153"/>
        <w:tab w:val="right" w:pos="8306"/>
        <w:tab w:val="clear" w:pos="0"/>
      </w:tabs>
      <w:jc w:val="left"/>
      <w:rPr>
        <w:rFonts w:hint="eastAsia"/>
        <w:szCs w:val="18"/>
      </w:rPr>
    </w:pPr>
    <w:r>
      <w:rPr>
        <w:rFonts w:hint="eastAsia"/>
        <w:b/>
        <w:bCs/>
        <w:szCs w:val="18"/>
      </w:rPr>
      <w:t xml:space="preserve">        Si Chuan Qian Xin Tendering and Bidding Agency Co.Ltd                     </w:t>
    </w:r>
    <w:r>
      <w:rPr>
        <w:rFonts w:hint="eastAsia"/>
        <w:b/>
        <w:bCs/>
        <w:szCs w:val="18"/>
        <w:lang w:val="en-US" w:eastAsia="zh-CN"/>
      </w:rPr>
      <w:t xml:space="preserve">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enter" w:pos="4153"/>
        <w:tab w:val="right" w:pos="8306"/>
        <w:tab w:val="clear" w:pos="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 w:val="clear" w:pos="0"/>
      </w:tabs>
      <w:jc w:val="left"/>
      <w:rPr>
        <w:rFonts w:hint="eastAsia"/>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24"/>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26"/>
      <w:suff w:val="nothing"/>
      <w:lvlText w:val="%2、"/>
      <w:lvlJc w:val="left"/>
      <w:pPr>
        <w:ind w:left="0" w:firstLine="0"/>
      </w:pPr>
      <w:rPr>
        <w:rFonts w:hint="eastAsia" w:ascii="宋体" w:hAnsi="宋体" w:eastAsia="宋体" w:cs="宋体"/>
      </w:rPr>
    </w:lvl>
    <w:lvl w:ilvl="2" w:tentative="0">
      <w:start w:val="1"/>
      <w:numFmt w:val="chineseCounting"/>
      <w:pStyle w:val="27"/>
      <w:suff w:val="nothing"/>
      <w:lvlText w:val="(%3)"/>
      <w:lvlJc w:val="left"/>
      <w:pPr>
        <w:tabs>
          <w:tab w:val="left" w:pos="0"/>
        </w:tabs>
        <w:ind w:left="0" w:firstLine="0"/>
      </w:pPr>
      <w:rPr>
        <w:rFonts w:hint="eastAsia" w:ascii="宋体" w:hAnsi="宋体" w:eastAsia="宋体" w:cs="宋体"/>
      </w:rPr>
    </w:lvl>
    <w:lvl w:ilvl="3" w:tentative="0">
      <w:start w:val="1"/>
      <w:numFmt w:val="decimal"/>
      <w:pStyle w:val="28"/>
      <w:suff w:val="nothing"/>
      <w:lvlText w:val="%4."/>
      <w:lvlJc w:val="left"/>
      <w:pPr>
        <w:tabs>
          <w:tab w:val="left" w:pos="0"/>
        </w:tabs>
        <w:ind w:left="0" w:firstLine="0"/>
      </w:pPr>
      <w:rPr>
        <w:rFonts w:hint="eastAsia" w:ascii="宋体" w:hAnsi="宋体" w:eastAsia="宋体" w:cs="宋体"/>
      </w:rPr>
    </w:lvl>
    <w:lvl w:ilvl="4" w:tentative="0">
      <w:start w:val="1"/>
      <w:numFmt w:val="decimal"/>
      <w:pStyle w:val="30"/>
      <w:suff w:val="nothing"/>
      <w:lvlText w:val="%4.%5"/>
      <w:lvlJc w:val="left"/>
      <w:pPr>
        <w:ind w:left="0" w:firstLine="0"/>
      </w:pPr>
      <w:rPr>
        <w:rFonts w:hint="eastAsia" w:ascii="宋体" w:hAnsi="宋体" w:eastAsia="宋体" w:cs="宋体"/>
      </w:rPr>
    </w:lvl>
    <w:lvl w:ilvl="5" w:tentative="0">
      <w:start w:val="1"/>
      <w:numFmt w:val="decimal"/>
      <w:pStyle w:val="31"/>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7F53590"/>
    <w:multiLevelType w:val="multilevel"/>
    <w:tmpl w:val="C7F53590"/>
    <w:lvl w:ilvl="0" w:tentative="0">
      <w:start w:val="1"/>
      <w:numFmt w:val="decimal"/>
      <w:pStyle w:val="43"/>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44"/>
      <w:suff w:val="nothing"/>
      <w:lvlText w:val="%1.%2"/>
      <w:lvlJc w:val="left"/>
      <w:pPr>
        <w:tabs>
          <w:tab w:val="left" w:pos="420"/>
        </w:tabs>
        <w:ind w:left="0" w:leftChars="0" w:firstLine="0" w:firstLineChars="0"/>
      </w:pPr>
      <w:rPr>
        <w:rFonts w:hint="default" w:ascii="宋体" w:hAnsi="宋体" w:eastAsia="宋体" w:cs="宋体"/>
      </w:rPr>
    </w:lvl>
    <w:lvl w:ilvl="2" w:tentative="0">
      <w:start w:val="1"/>
      <w:numFmt w:val="decimal"/>
      <w:pStyle w:val="45"/>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CA240A61"/>
    <w:multiLevelType w:val="singleLevel"/>
    <w:tmpl w:val="CA240A61"/>
    <w:lvl w:ilvl="0" w:tentative="0">
      <w:start w:val="1"/>
      <w:numFmt w:val="chineseCounting"/>
      <w:pStyle w:val="71"/>
      <w:suff w:val="nothing"/>
      <w:lvlText w:val="(%1)"/>
      <w:lvlJc w:val="left"/>
      <w:pPr>
        <w:ind w:left="0" w:firstLine="0"/>
      </w:pPr>
      <w:rPr>
        <w:rFonts w:hint="eastAsia"/>
      </w:rPr>
    </w:lvl>
  </w:abstractNum>
  <w:abstractNum w:abstractNumId="3">
    <w:nsid w:val="D2F3B81A"/>
    <w:multiLevelType w:val="singleLevel"/>
    <w:tmpl w:val="D2F3B81A"/>
    <w:lvl w:ilvl="0" w:tentative="0">
      <w:start w:val="1"/>
      <w:numFmt w:val="chineseCounting"/>
      <w:pStyle w:val="47"/>
      <w:suff w:val="nothing"/>
      <w:lvlText w:val="%1、"/>
      <w:lvlJc w:val="left"/>
      <w:pPr>
        <w:ind w:left="0" w:firstLine="0"/>
      </w:pPr>
      <w:rPr>
        <w:rFonts w:hint="eastAsia"/>
      </w:rPr>
    </w:lvl>
  </w:abstractNum>
  <w:abstractNum w:abstractNumId="4">
    <w:nsid w:val="DCCDE3B6"/>
    <w:multiLevelType w:val="singleLevel"/>
    <w:tmpl w:val="DCCDE3B6"/>
    <w:lvl w:ilvl="0" w:tentative="0">
      <w:start w:val="1"/>
      <w:numFmt w:val="decimal"/>
      <w:lvlText w:val="%1"/>
      <w:lvlJc w:val="left"/>
      <w:pPr>
        <w:tabs>
          <w:tab w:val="left" w:pos="0"/>
        </w:tabs>
        <w:ind w:left="0" w:leftChars="0" w:firstLine="0" w:firstLineChars="0"/>
      </w:pPr>
      <w:rPr>
        <w:rFonts w:hint="default"/>
      </w:rPr>
    </w:lvl>
  </w:abstractNum>
  <w:abstractNum w:abstractNumId="5">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8"/>
      <w:suff w:val="nothing"/>
      <w:lvlText w:val="(%2)"/>
      <w:lvlJc w:val="left"/>
      <w:pPr>
        <w:ind w:left="0" w:firstLine="0"/>
      </w:pPr>
      <w:rPr>
        <w:rFonts w:hint="eastAsia" w:ascii="宋体" w:hAnsi="宋体" w:eastAsia="宋体" w:cs="宋体"/>
      </w:rPr>
    </w:lvl>
    <w:lvl w:ilvl="2" w:tentative="0">
      <w:start w:val="1"/>
      <w:numFmt w:val="decimal"/>
      <w:pStyle w:val="40"/>
      <w:suff w:val="nothing"/>
      <w:lvlText w:val="%3."/>
      <w:lvlJc w:val="left"/>
      <w:pPr>
        <w:ind w:left="0" w:firstLine="0"/>
      </w:pPr>
      <w:rPr>
        <w:rFonts w:hint="eastAsia" w:ascii="宋体" w:hAnsi="宋体" w:eastAsia="宋体" w:cs="宋体"/>
      </w:rPr>
    </w:lvl>
    <w:lvl w:ilvl="3" w:tentative="0">
      <w:start w:val="1"/>
      <w:numFmt w:val="decimal"/>
      <w:pStyle w:val="41"/>
      <w:suff w:val="nothing"/>
      <w:lvlText w:val="%3.%4"/>
      <w:lvlJc w:val="left"/>
      <w:pPr>
        <w:ind w:left="0" w:firstLine="0"/>
      </w:pPr>
      <w:rPr>
        <w:rFonts w:hint="eastAsia" w:ascii="宋体" w:hAnsi="宋体" w:eastAsia="宋体" w:cs="宋体"/>
      </w:rPr>
    </w:lvl>
    <w:lvl w:ilvl="4" w:tentative="0">
      <w:start w:val="1"/>
      <w:numFmt w:val="decimal"/>
      <w:pStyle w:val="42"/>
      <w:suff w:val="nothing"/>
      <w:lvlText w:val="(%5)"/>
      <w:lvlJc w:val="left"/>
      <w:pPr>
        <w:ind w:left="0" w:firstLine="0"/>
      </w:pPr>
      <w:rPr>
        <w:rFonts w:hint="eastAsia" w:ascii="宋体" w:hAnsi="宋体" w:eastAsia="宋体" w:cs="宋体"/>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6">
    <w:nsid w:val="E69990DB"/>
    <w:multiLevelType w:val="singleLevel"/>
    <w:tmpl w:val="E69990DB"/>
    <w:lvl w:ilvl="0" w:tentative="0">
      <w:start w:val="1"/>
      <w:numFmt w:val="chineseCounting"/>
      <w:suff w:val="nothing"/>
      <w:lvlText w:val="%1、"/>
      <w:lvlJc w:val="left"/>
      <w:pPr>
        <w:ind w:left="0" w:firstLine="420"/>
      </w:pPr>
      <w:rPr>
        <w:rFonts w:hint="eastAsia"/>
      </w:rPr>
    </w:lvl>
  </w:abstractNum>
  <w:abstractNum w:abstractNumId="7">
    <w:nsid w:val="FABA3C29"/>
    <w:multiLevelType w:val="singleLevel"/>
    <w:tmpl w:val="FABA3C29"/>
    <w:lvl w:ilvl="0" w:tentative="0">
      <w:start w:val="1"/>
      <w:numFmt w:val="chineseCounting"/>
      <w:suff w:val="nothing"/>
      <w:lvlText w:val="%1、"/>
      <w:lvlJc w:val="left"/>
      <w:pPr>
        <w:ind w:left="0" w:firstLine="420"/>
      </w:pPr>
      <w:rPr>
        <w:rFonts w:hint="eastAsia"/>
      </w:rPr>
    </w:lvl>
  </w:abstractNum>
  <w:abstractNum w:abstractNumId="8">
    <w:nsid w:val="07C0D5F4"/>
    <w:multiLevelType w:val="singleLevel"/>
    <w:tmpl w:val="07C0D5F4"/>
    <w:lvl w:ilvl="0" w:tentative="0">
      <w:start w:val="1"/>
      <w:numFmt w:val="chineseCounting"/>
      <w:suff w:val="nothing"/>
      <w:lvlText w:val="%1、"/>
      <w:lvlJc w:val="left"/>
      <w:pPr>
        <w:ind w:left="0" w:firstLine="420"/>
      </w:pPr>
      <w:rPr>
        <w:rFonts w:hint="eastAsia"/>
      </w:rPr>
    </w:lvl>
  </w:abstractNum>
  <w:abstractNum w:abstractNumId="9">
    <w:nsid w:val="0D3DD0CB"/>
    <w:multiLevelType w:val="singleLevel"/>
    <w:tmpl w:val="0D3DD0CB"/>
    <w:lvl w:ilvl="0" w:tentative="0">
      <w:start w:val="1"/>
      <w:numFmt w:val="decimal"/>
      <w:lvlText w:val="%1."/>
      <w:lvlJc w:val="left"/>
      <w:pPr>
        <w:tabs>
          <w:tab w:val="left" w:pos="312"/>
        </w:tabs>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5912557E"/>
    <w:multiLevelType w:val="singleLevel"/>
    <w:tmpl w:val="5912557E"/>
    <w:lvl w:ilvl="0" w:tentative="0">
      <w:start w:val="1"/>
      <w:numFmt w:val="chineseCounting"/>
      <w:suff w:val="nothing"/>
      <w:lvlText w:val="%1、"/>
      <w:lvlJc w:val="left"/>
      <w:rPr>
        <w:rFonts w:hint="eastAsia"/>
      </w:rPr>
    </w:lvl>
  </w:abstractNum>
  <w:abstractNum w:abstractNumId="12">
    <w:nsid w:val="5D053081"/>
    <w:multiLevelType w:val="singleLevel"/>
    <w:tmpl w:val="5D053081"/>
    <w:lvl w:ilvl="0" w:tentative="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0"/>
  </w:num>
  <w:num w:numId="4">
    <w:abstractNumId w:val="1"/>
  </w:num>
  <w:num w:numId="5">
    <w:abstractNumId w:val="3"/>
  </w:num>
  <w:num w:numId="6">
    <w:abstractNumId w:val="2"/>
  </w:num>
  <w:num w:numId="7">
    <w:abstractNumId w:val="8"/>
  </w:num>
  <w:num w:numId="8">
    <w:abstractNumId w:val="4"/>
  </w:num>
  <w:num w:numId="9">
    <w:abstractNumId w:val="11"/>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0A"/>
    <w:rsid w:val="000168D4"/>
    <w:rsid w:val="000504D4"/>
    <w:rsid w:val="00050929"/>
    <w:rsid w:val="000552F1"/>
    <w:rsid w:val="00071F90"/>
    <w:rsid w:val="0007665C"/>
    <w:rsid w:val="00080967"/>
    <w:rsid w:val="00083410"/>
    <w:rsid w:val="00083A85"/>
    <w:rsid w:val="000A22EE"/>
    <w:rsid w:val="000B25B6"/>
    <w:rsid w:val="000D7DD0"/>
    <w:rsid w:val="0010191C"/>
    <w:rsid w:val="001025A9"/>
    <w:rsid w:val="0010309E"/>
    <w:rsid w:val="0012071D"/>
    <w:rsid w:val="00127F82"/>
    <w:rsid w:val="00152049"/>
    <w:rsid w:val="00166040"/>
    <w:rsid w:val="001672A1"/>
    <w:rsid w:val="00172A27"/>
    <w:rsid w:val="001747EE"/>
    <w:rsid w:val="00180AAC"/>
    <w:rsid w:val="00190708"/>
    <w:rsid w:val="001B6050"/>
    <w:rsid w:val="001C42C5"/>
    <w:rsid w:val="001E2AED"/>
    <w:rsid w:val="001E6888"/>
    <w:rsid w:val="002214E7"/>
    <w:rsid w:val="00225683"/>
    <w:rsid w:val="00234073"/>
    <w:rsid w:val="002435A0"/>
    <w:rsid w:val="0024360B"/>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6B27"/>
    <w:rsid w:val="00353E82"/>
    <w:rsid w:val="00396369"/>
    <w:rsid w:val="003B2228"/>
    <w:rsid w:val="003C13E4"/>
    <w:rsid w:val="003D21F1"/>
    <w:rsid w:val="003E1DCC"/>
    <w:rsid w:val="003F4651"/>
    <w:rsid w:val="00410967"/>
    <w:rsid w:val="00411E40"/>
    <w:rsid w:val="00415E21"/>
    <w:rsid w:val="0042186C"/>
    <w:rsid w:val="00445ADF"/>
    <w:rsid w:val="0046727E"/>
    <w:rsid w:val="00482071"/>
    <w:rsid w:val="00483674"/>
    <w:rsid w:val="004861AE"/>
    <w:rsid w:val="00486D20"/>
    <w:rsid w:val="00495036"/>
    <w:rsid w:val="004A6781"/>
    <w:rsid w:val="004A7D40"/>
    <w:rsid w:val="004B0604"/>
    <w:rsid w:val="004B4092"/>
    <w:rsid w:val="004E0FDD"/>
    <w:rsid w:val="004F1325"/>
    <w:rsid w:val="004F2F95"/>
    <w:rsid w:val="00506600"/>
    <w:rsid w:val="00526D76"/>
    <w:rsid w:val="00551430"/>
    <w:rsid w:val="00554499"/>
    <w:rsid w:val="00557A19"/>
    <w:rsid w:val="005601DD"/>
    <w:rsid w:val="00570E40"/>
    <w:rsid w:val="00573162"/>
    <w:rsid w:val="005A2BA7"/>
    <w:rsid w:val="005A7C81"/>
    <w:rsid w:val="005F3F05"/>
    <w:rsid w:val="0060449E"/>
    <w:rsid w:val="006058A4"/>
    <w:rsid w:val="006109FE"/>
    <w:rsid w:val="00614BF4"/>
    <w:rsid w:val="00616B6E"/>
    <w:rsid w:val="00633858"/>
    <w:rsid w:val="00670841"/>
    <w:rsid w:val="006708EE"/>
    <w:rsid w:val="006778E4"/>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352AC"/>
    <w:rsid w:val="00835973"/>
    <w:rsid w:val="00850B71"/>
    <w:rsid w:val="0085639C"/>
    <w:rsid w:val="008738BD"/>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73102"/>
    <w:rsid w:val="00990893"/>
    <w:rsid w:val="00997D49"/>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90629"/>
    <w:rsid w:val="00BA2262"/>
    <w:rsid w:val="00BA69F4"/>
    <w:rsid w:val="00BA6D13"/>
    <w:rsid w:val="00BB299F"/>
    <w:rsid w:val="00BE1766"/>
    <w:rsid w:val="00BE194A"/>
    <w:rsid w:val="00BF4E9E"/>
    <w:rsid w:val="00C00F81"/>
    <w:rsid w:val="00C17A63"/>
    <w:rsid w:val="00C35487"/>
    <w:rsid w:val="00C43BC1"/>
    <w:rsid w:val="00CA0AAA"/>
    <w:rsid w:val="00CD401B"/>
    <w:rsid w:val="00CD437E"/>
    <w:rsid w:val="00CD43B3"/>
    <w:rsid w:val="00CD58A7"/>
    <w:rsid w:val="00CE226F"/>
    <w:rsid w:val="00CF53F3"/>
    <w:rsid w:val="00D13F32"/>
    <w:rsid w:val="00D174EB"/>
    <w:rsid w:val="00D23AEC"/>
    <w:rsid w:val="00D373B2"/>
    <w:rsid w:val="00D37D24"/>
    <w:rsid w:val="00D80201"/>
    <w:rsid w:val="00D827D3"/>
    <w:rsid w:val="00D87B92"/>
    <w:rsid w:val="00D87C93"/>
    <w:rsid w:val="00DA65C9"/>
    <w:rsid w:val="00DB5C76"/>
    <w:rsid w:val="00DC4298"/>
    <w:rsid w:val="00DC68DD"/>
    <w:rsid w:val="00DD654B"/>
    <w:rsid w:val="00DE3615"/>
    <w:rsid w:val="00DF10BC"/>
    <w:rsid w:val="00E04823"/>
    <w:rsid w:val="00E057E9"/>
    <w:rsid w:val="00E2173D"/>
    <w:rsid w:val="00E53568"/>
    <w:rsid w:val="00E74CE9"/>
    <w:rsid w:val="00E7539A"/>
    <w:rsid w:val="00E83C3F"/>
    <w:rsid w:val="00E86078"/>
    <w:rsid w:val="00E87BB1"/>
    <w:rsid w:val="00E93F48"/>
    <w:rsid w:val="00E965F8"/>
    <w:rsid w:val="00EB31E1"/>
    <w:rsid w:val="00EC1D3C"/>
    <w:rsid w:val="00EE2E61"/>
    <w:rsid w:val="00EE2E62"/>
    <w:rsid w:val="00EF4699"/>
    <w:rsid w:val="00F025B2"/>
    <w:rsid w:val="00F0340D"/>
    <w:rsid w:val="00F140D0"/>
    <w:rsid w:val="00F22D2F"/>
    <w:rsid w:val="00F23715"/>
    <w:rsid w:val="00F32329"/>
    <w:rsid w:val="00F359AF"/>
    <w:rsid w:val="00F4295B"/>
    <w:rsid w:val="00F714C7"/>
    <w:rsid w:val="00F9177B"/>
    <w:rsid w:val="00FB1DA4"/>
    <w:rsid w:val="01021BFD"/>
    <w:rsid w:val="01164975"/>
    <w:rsid w:val="01235338"/>
    <w:rsid w:val="012746B9"/>
    <w:rsid w:val="012B76F3"/>
    <w:rsid w:val="012C44AA"/>
    <w:rsid w:val="013667AE"/>
    <w:rsid w:val="013D1C8A"/>
    <w:rsid w:val="013F0F7C"/>
    <w:rsid w:val="01430BEC"/>
    <w:rsid w:val="01464694"/>
    <w:rsid w:val="015258FF"/>
    <w:rsid w:val="015357B9"/>
    <w:rsid w:val="01553CFE"/>
    <w:rsid w:val="01575A75"/>
    <w:rsid w:val="01733B27"/>
    <w:rsid w:val="01782F69"/>
    <w:rsid w:val="01876A1F"/>
    <w:rsid w:val="018A16B2"/>
    <w:rsid w:val="018F03FE"/>
    <w:rsid w:val="019377A3"/>
    <w:rsid w:val="01950C8B"/>
    <w:rsid w:val="01997BFD"/>
    <w:rsid w:val="019D624D"/>
    <w:rsid w:val="019D6D53"/>
    <w:rsid w:val="01A10AB4"/>
    <w:rsid w:val="01A93CDD"/>
    <w:rsid w:val="01A96BB6"/>
    <w:rsid w:val="01AA4D6A"/>
    <w:rsid w:val="01AD4AAA"/>
    <w:rsid w:val="01B763DC"/>
    <w:rsid w:val="01BC53AC"/>
    <w:rsid w:val="01C22242"/>
    <w:rsid w:val="01C2493E"/>
    <w:rsid w:val="01C43E2A"/>
    <w:rsid w:val="01C91C5F"/>
    <w:rsid w:val="01CE126B"/>
    <w:rsid w:val="01D440FD"/>
    <w:rsid w:val="01D65137"/>
    <w:rsid w:val="01D865E6"/>
    <w:rsid w:val="01E16A43"/>
    <w:rsid w:val="01E366FD"/>
    <w:rsid w:val="01EA4845"/>
    <w:rsid w:val="01EF249C"/>
    <w:rsid w:val="01F54337"/>
    <w:rsid w:val="01FC54B7"/>
    <w:rsid w:val="0208513A"/>
    <w:rsid w:val="02132164"/>
    <w:rsid w:val="02160470"/>
    <w:rsid w:val="02195753"/>
    <w:rsid w:val="02223C50"/>
    <w:rsid w:val="0229045C"/>
    <w:rsid w:val="022E6BF1"/>
    <w:rsid w:val="023372E3"/>
    <w:rsid w:val="0234353E"/>
    <w:rsid w:val="02362CC5"/>
    <w:rsid w:val="023C5149"/>
    <w:rsid w:val="02665FD5"/>
    <w:rsid w:val="02673FBF"/>
    <w:rsid w:val="02676F4A"/>
    <w:rsid w:val="026D704D"/>
    <w:rsid w:val="026E6706"/>
    <w:rsid w:val="02735026"/>
    <w:rsid w:val="027655B6"/>
    <w:rsid w:val="02792F82"/>
    <w:rsid w:val="027A2AED"/>
    <w:rsid w:val="02825F13"/>
    <w:rsid w:val="028430AA"/>
    <w:rsid w:val="028879D9"/>
    <w:rsid w:val="028919DF"/>
    <w:rsid w:val="02964ADD"/>
    <w:rsid w:val="02A14D74"/>
    <w:rsid w:val="02AD29C6"/>
    <w:rsid w:val="02B0450C"/>
    <w:rsid w:val="02B43DAD"/>
    <w:rsid w:val="02C10B38"/>
    <w:rsid w:val="02C668D1"/>
    <w:rsid w:val="02D84AC8"/>
    <w:rsid w:val="02D9413D"/>
    <w:rsid w:val="02D97DE5"/>
    <w:rsid w:val="02DC1FED"/>
    <w:rsid w:val="02DD3DF1"/>
    <w:rsid w:val="02E247AD"/>
    <w:rsid w:val="02E3266E"/>
    <w:rsid w:val="02EB188A"/>
    <w:rsid w:val="02F0675F"/>
    <w:rsid w:val="02F13434"/>
    <w:rsid w:val="02F71628"/>
    <w:rsid w:val="02FD2232"/>
    <w:rsid w:val="03033784"/>
    <w:rsid w:val="0308499E"/>
    <w:rsid w:val="030B01F1"/>
    <w:rsid w:val="030E29C8"/>
    <w:rsid w:val="03110BB0"/>
    <w:rsid w:val="0318425F"/>
    <w:rsid w:val="031C70D4"/>
    <w:rsid w:val="0321449C"/>
    <w:rsid w:val="03241B28"/>
    <w:rsid w:val="03250245"/>
    <w:rsid w:val="034547E6"/>
    <w:rsid w:val="03486A36"/>
    <w:rsid w:val="034C555B"/>
    <w:rsid w:val="034D5EB3"/>
    <w:rsid w:val="0350391F"/>
    <w:rsid w:val="035619A6"/>
    <w:rsid w:val="03631FAD"/>
    <w:rsid w:val="036C1F3C"/>
    <w:rsid w:val="036D31EC"/>
    <w:rsid w:val="036E7CB0"/>
    <w:rsid w:val="03770FAA"/>
    <w:rsid w:val="037D0A35"/>
    <w:rsid w:val="039261BA"/>
    <w:rsid w:val="03941692"/>
    <w:rsid w:val="03975801"/>
    <w:rsid w:val="03A00A45"/>
    <w:rsid w:val="03A10074"/>
    <w:rsid w:val="03B331F8"/>
    <w:rsid w:val="03C23BAF"/>
    <w:rsid w:val="03C40ABE"/>
    <w:rsid w:val="03C73EF9"/>
    <w:rsid w:val="03CA7926"/>
    <w:rsid w:val="03D316D3"/>
    <w:rsid w:val="03D44A43"/>
    <w:rsid w:val="03D60077"/>
    <w:rsid w:val="03DA5860"/>
    <w:rsid w:val="03E3449B"/>
    <w:rsid w:val="03F050BD"/>
    <w:rsid w:val="03F7077E"/>
    <w:rsid w:val="03FB00F1"/>
    <w:rsid w:val="03FC155B"/>
    <w:rsid w:val="03FC1BFF"/>
    <w:rsid w:val="04027210"/>
    <w:rsid w:val="04053316"/>
    <w:rsid w:val="040922A3"/>
    <w:rsid w:val="041E0A40"/>
    <w:rsid w:val="041E23EC"/>
    <w:rsid w:val="042222D7"/>
    <w:rsid w:val="042876CA"/>
    <w:rsid w:val="042E0EC7"/>
    <w:rsid w:val="0431295A"/>
    <w:rsid w:val="043A47ED"/>
    <w:rsid w:val="043D3A3C"/>
    <w:rsid w:val="044D771D"/>
    <w:rsid w:val="044F225E"/>
    <w:rsid w:val="0453127A"/>
    <w:rsid w:val="0462655C"/>
    <w:rsid w:val="04671AF4"/>
    <w:rsid w:val="0467789F"/>
    <w:rsid w:val="046D5DE0"/>
    <w:rsid w:val="046F52E9"/>
    <w:rsid w:val="047B1E84"/>
    <w:rsid w:val="047E7170"/>
    <w:rsid w:val="04802939"/>
    <w:rsid w:val="04841778"/>
    <w:rsid w:val="04873C0F"/>
    <w:rsid w:val="04892F7A"/>
    <w:rsid w:val="0496363A"/>
    <w:rsid w:val="04964424"/>
    <w:rsid w:val="04992B18"/>
    <w:rsid w:val="049D3B7D"/>
    <w:rsid w:val="04A1495E"/>
    <w:rsid w:val="04A44D8E"/>
    <w:rsid w:val="04A53D14"/>
    <w:rsid w:val="04A93BA3"/>
    <w:rsid w:val="04AC6DE5"/>
    <w:rsid w:val="04B830C1"/>
    <w:rsid w:val="04CA4143"/>
    <w:rsid w:val="04D146D9"/>
    <w:rsid w:val="04D97593"/>
    <w:rsid w:val="04DE5CC1"/>
    <w:rsid w:val="04E57BE9"/>
    <w:rsid w:val="04EE0917"/>
    <w:rsid w:val="04F17FCA"/>
    <w:rsid w:val="04F4393C"/>
    <w:rsid w:val="04F51041"/>
    <w:rsid w:val="04FB6CA5"/>
    <w:rsid w:val="04FD03D8"/>
    <w:rsid w:val="04FF31ED"/>
    <w:rsid w:val="04FF4175"/>
    <w:rsid w:val="050355D2"/>
    <w:rsid w:val="05044AF9"/>
    <w:rsid w:val="050C088E"/>
    <w:rsid w:val="051304B1"/>
    <w:rsid w:val="051D23B5"/>
    <w:rsid w:val="05204AF2"/>
    <w:rsid w:val="05232BB3"/>
    <w:rsid w:val="05315B92"/>
    <w:rsid w:val="053C2598"/>
    <w:rsid w:val="05401A25"/>
    <w:rsid w:val="054E2399"/>
    <w:rsid w:val="05533444"/>
    <w:rsid w:val="055B54C4"/>
    <w:rsid w:val="055D3FA1"/>
    <w:rsid w:val="056059F7"/>
    <w:rsid w:val="05624790"/>
    <w:rsid w:val="056D77F4"/>
    <w:rsid w:val="057256BC"/>
    <w:rsid w:val="057C1154"/>
    <w:rsid w:val="0586026D"/>
    <w:rsid w:val="058E48DD"/>
    <w:rsid w:val="059771FE"/>
    <w:rsid w:val="05A53D39"/>
    <w:rsid w:val="05AA6018"/>
    <w:rsid w:val="05AA6ECF"/>
    <w:rsid w:val="05AC28F4"/>
    <w:rsid w:val="05AF1133"/>
    <w:rsid w:val="05AF6A3D"/>
    <w:rsid w:val="05B55267"/>
    <w:rsid w:val="05B660BC"/>
    <w:rsid w:val="05C14E93"/>
    <w:rsid w:val="05C47C84"/>
    <w:rsid w:val="05DE5C05"/>
    <w:rsid w:val="05EE7A21"/>
    <w:rsid w:val="05F03F1F"/>
    <w:rsid w:val="05F74FD6"/>
    <w:rsid w:val="06015BFD"/>
    <w:rsid w:val="06166C5B"/>
    <w:rsid w:val="06167B46"/>
    <w:rsid w:val="061A703B"/>
    <w:rsid w:val="061F3DF2"/>
    <w:rsid w:val="06292793"/>
    <w:rsid w:val="062953DC"/>
    <w:rsid w:val="06364822"/>
    <w:rsid w:val="063902D9"/>
    <w:rsid w:val="0644691C"/>
    <w:rsid w:val="06473E71"/>
    <w:rsid w:val="064C13DA"/>
    <w:rsid w:val="064C5DA0"/>
    <w:rsid w:val="06563A2F"/>
    <w:rsid w:val="06594B88"/>
    <w:rsid w:val="065C4451"/>
    <w:rsid w:val="06607022"/>
    <w:rsid w:val="06640B64"/>
    <w:rsid w:val="06657762"/>
    <w:rsid w:val="066B442F"/>
    <w:rsid w:val="066D09E8"/>
    <w:rsid w:val="066D20E0"/>
    <w:rsid w:val="06735A2A"/>
    <w:rsid w:val="06791870"/>
    <w:rsid w:val="067A55A2"/>
    <w:rsid w:val="06821290"/>
    <w:rsid w:val="068341DC"/>
    <w:rsid w:val="06884418"/>
    <w:rsid w:val="068C41F6"/>
    <w:rsid w:val="0698222A"/>
    <w:rsid w:val="069D5BEE"/>
    <w:rsid w:val="06A404EF"/>
    <w:rsid w:val="06AB7088"/>
    <w:rsid w:val="06AC7FCB"/>
    <w:rsid w:val="06B220B1"/>
    <w:rsid w:val="06C14990"/>
    <w:rsid w:val="06C255FB"/>
    <w:rsid w:val="06C466BB"/>
    <w:rsid w:val="06C66564"/>
    <w:rsid w:val="06C67079"/>
    <w:rsid w:val="06D0501F"/>
    <w:rsid w:val="06D17F1E"/>
    <w:rsid w:val="06DC4238"/>
    <w:rsid w:val="06E87E6F"/>
    <w:rsid w:val="06E91B3A"/>
    <w:rsid w:val="06E93471"/>
    <w:rsid w:val="06F23D1E"/>
    <w:rsid w:val="06FE7CDC"/>
    <w:rsid w:val="06FF392B"/>
    <w:rsid w:val="07057562"/>
    <w:rsid w:val="070E0BA1"/>
    <w:rsid w:val="0712012C"/>
    <w:rsid w:val="0715101A"/>
    <w:rsid w:val="07245DA2"/>
    <w:rsid w:val="07284CFD"/>
    <w:rsid w:val="0728618F"/>
    <w:rsid w:val="072A238A"/>
    <w:rsid w:val="07335CEC"/>
    <w:rsid w:val="073A1C46"/>
    <w:rsid w:val="073B634E"/>
    <w:rsid w:val="073C2D1E"/>
    <w:rsid w:val="07423620"/>
    <w:rsid w:val="074C58DC"/>
    <w:rsid w:val="075615A8"/>
    <w:rsid w:val="07562B9A"/>
    <w:rsid w:val="075B7696"/>
    <w:rsid w:val="07641D0D"/>
    <w:rsid w:val="07662674"/>
    <w:rsid w:val="0767483A"/>
    <w:rsid w:val="076E785E"/>
    <w:rsid w:val="076F5C7C"/>
    <w:rsid w:val="077309BA"/>
    <w:rsid w:val="07781B1E"/>
    <w:rsid w:val="077A550A"/>
    <w:rsid w:val="078256F4"/>
    <w:rsid w:val="07945FAF"/>
    <w:rsid w:val="07A31B05"/>
    <w:rsid w:val="07A56862"/>
    <w:rsid w:val="07AD3ABB"/>
    <w:rsid w:val="07B077CA"/>
    <w:rsid w:val="07B11440"/>
    <w:rsid w:val="07B42784"/>
    <w:rsid w:val="07BC0D1A"/>
    <w:rsid w:val="07C40FCD"/>
    <w:rsid w:val="07D879E1"/>
    <w:rsid w:val="07DF1979"/>
    <w:rsid w:val="07E0507A"/>
    <w:rsid w:val="07E761B7"/>
    <w:rsid w:val="07F66D0A"/>
    <w:rsid w:val="07F67835"/>
    <w:rsid w:val="07FF5772"/>
    <w:rsid w:val="080F372F"/>
    <w:rsid w:val="0817323B"/>
    <w:rsid w:val="081A6BAD"/>
    <w:rsid w:val="08273974"/>
    <w:rsid w:val="082A73B9"/>
    <w:rsid w:val="082F56F4"/>
    <w:rsid w:val="08345E02"/>
    <w:rsid w:val="08365A12"/>
    <w:rsid w:val="08372ED5"/>
    <w:rsid w:val="08400F85"/>
    <w:rsid w:val="084D1037"/>
    <w:rsid w:val="085049F9"/>
    <w:rsid w:val="08507E33"/>
    <w:rsid w:val="085257EE"/>
    <w:rsid w:val="08531DD5"/>
    <w:rsid w:val="08541F2D"/>
    <w:rsid w:val="0854364F"/>
    <w:rsid w:val="08560593"/>
    <w:rsid w:val="0859235C"/>
    <w:rsid w:val="085A15A9"/>
    <w:rsid w:val="086379DD"/>
    <w:rsid w:val="086F1195"/>
    <w:rsid w:val="0879029B"/>
    <w:rsid w:val="08795873"/>
    <w:rsid w:val="08796737"/>
    <w:rsid w:val="087D36E3"/>
    <w:rsid w:val="08885FE3"/>
    <w:rsid w:val="088D58E5"/>
    <w:rsid w:val="088F138A"/>
    <w:rsid w:val="08903BD8"/>
    <w:rsid w:val="08A4283A"/>
    <w:rsid w:val="08B0513C"/>
    <w:rsid w:val="08B54488"/>
    <w:rsid w:val="08BE07C4"/>
    <w:rsid w:val="08BE5AB8"/>
    <w:rsid w:val="08C0336E"/>
    <w:rsid w:val="08C203AB"/>
    <w:rsid w:val="08C20DA2"/>
    <w:rsid w:val="08CC4969"/>
    <w:rsid w:val="08D539E3"/>
    <w:rsid w:val="08D65C48"/>
    <w:rsid w:val="08DB73B0"/>
    <w:rsid w:val="08DE1C47"/>
    <w:rsid w:val="08EC63BA"/>
    <w:rsid w:val="08EE6DAF"/>
    <w:rsid w:val="08FD5E73"/>
    <w:rsid w:val="090C3804"/>
    <w:rsid w:val="09131FB5"/>
    <w:rsid w:val="091D71CF"/>
    <w:rsid w:val="09292315"/>
    <w:rsid w:val="093B5F9E"/>
    <w:rsid w:val="093E60E8"/>
    <w:rsid w:val="09427C3A"/>
    <w:rsid w:val="094409C9"/>
    <w:rsid w:val="09474FBC"/>
    <w:rsid w:val="094D4667"/>
    <w:rsid w:val="095A4D4F"/>
    <w:rsid w:val="095D0712"/>
    <w:rsid w:val="096B20A4"/>
    <w:rsid w:val="09704EF2"/>
    <w:rsid w:val="09734147"/>
    <w:rsid w:val="097C2059"/>
    <w:rsid w:val="09807F91"/>
    <w:rsid w:val="0984355C"/>
    <w:rsid w:val="098B1201"/>
    <w:rsid w:val="098D45B7"/>
    <w:rsid w:val="098E57E7"/>
    <w:rsid w:val="09B024F6"/>
    <w:rsid w:val="09BD2D95"/>
    <w:rsid w:val="09BF7005"/>
    <w:rsid w:val="09C32102"/>
    <w:rsid w:val="09C94BC3"/>
    <w:rsid w:val="09C97575"/>
    <w:rsid w:val="09CA3930"/>
    <w:rsid w:val="09CC3BAD"/>
    <w:rsid w:val="09E244D3"/>
    <w:rsid w:val="09E44204"/>
    <w:rsid w:val="09F410FD"/>
    <w:rsid w:val="09F85300"/>
    <w:rsid w:val="09F9533F"/>
    <w:rsid w:val="09FA1862"/>
    <w:rsid w:val="0A141092"/>
    <w:rsid w:val="0A18215B"/>
    <w:rsid w:val="0A1A5515"/>
    <w:rsid w:val="0A1C206E"/>
    <w:rsid w:val="0A1F3AFB"/>
    <w:rsid w:val="0A2D0238"/>
    <w:rsid w:val="0A35648F"/>
    <w:rsid w:val="0A3D4730"/>
    <w:rsid w:val="0A406793"/>
    <w:rsid w:val="0A4F2112"/>
    <w:rsid w:val="0A562EAD"/>
    <w:rsid w:val="0A5700E0"/>
    <w:rsid w:val="0A5E153D"/>
    <w:rsid w:val="0A5F6FCC"/>
    <w:rsid w:val="0A61724E"/>
    <w:rsid w:val="0A720B8B"/>
    <w:rsid w:val="0A761D8B"/>
    <w:rsid w:val="0A88671B"/>
    <w:rsid w:val="0A8A4F8C"/>
    <w:rsid w:val="0A8B671A"/>
    <w:rsid w:val="0A8D53E6"/>
    <w:rsid w:val="0A941E7B"/>
    <w:rsid w:val="0A990353"/>
    <w:rsid w:val="0AA85816"/>
    <w:rsid w:val="0AAE20B2"/>
    <w:rsid w:val="0AB144E5"/>
    <w:rsid w:val="0ABF45E0"/>
    <w:rsid w:val="0AD029E3"/>
    <w:rsid w:val="0AD06D46"/>
    <w:rsid w:val="0AD20D78"/>
    <w:rsid w:val="0AD95FEE"/>
    <w:rsid w:val="0ADA2CA9"/>
    <w:rsid w:val="0ADF46B7"/>
    <w:rsid w:val="0AE50CEA"/>
    <w:rsid w:val="0AE74A9B"/>
    <w:rsid w:val="0AEB1D55"/>
    <w:rsid w:val="0AEF28BE"/>
    <w:rsid w:val="0AF66B05"/>
    <w:rsid w:val="0AFF39E9"/>
    <w:rsid w:val="0B030A0E"/>
    <w:rsid w:val="0B0F543F"/>
    <w:rsid w:val="0B165FCB"/>
    <w:rsid w:val="0B1D5061"/>
    <w:rsid w:val="0B1F3335"/>
    <w:rsid w:val="0B210D44"/>
    <w:rsid w:val="0B373A25"/>
    <w:rsid w:val="0B3B7F3C"/>
    <w:rsid w:val="0B490628"/>
    <w:rsid w:val="0B4A6D39"/>
    <w:rsid w:val="0B4D084E"/>
    <w:rsid w:val="0B5001FD"/>
    <w:rsid w:val="0B5255EB"/>
    <w:rsid w:val="0B5D62E7"/>
    <w:rsid w:val="0B5E6C1B"/>
    <w:rsid w:val="0B685A51"/>
    <w:rsid w:val="0B7050D0"/>
    <w:rsid w:val="0B780CAF"/>
    <w:rsid w:val="0B7C78A1"/>
    <w:rsid w:val="0B94665C"/>
    <w:rsid w:val="0B9648CA"/>
    <w:rsid w:val="0B970C03"/>
    <w:rsid w:val="0B98470C"/>
    <w:rsid w:val="0B9956E6"/>
    <w:rsid w:val="0B9B3CCE"/>
    <w:rsid w:val="0BA62356"/>
    <w:rsid w:val="0BAA1E73"/>
    <w:rsid w:val="0BB15CE2"/>
    <w:rsid w:val="0BBE7D93"/>
    <w:rsid w:val="0BC31E67"/>
    <w:rsid w:val="0BC75C03"/>
    <w:rsid w:val="0BCF0D6E"/>
    <w:rsid w:val="0BD25244"/>
    <w:rsid w:val="0BDB390D"/>
    <w:rsid w:val="0BDD0790"/>
    <w:rsid w:val="0BDD4638"/>
    <w:rsid w:val="0BDE7B9C"/>
    <w:rsid w:val="0BE3664B"/>
    <w:rsid w:val="0BEB2FDB"/>
    <w:rsid w:val="0BF31F88"/>
    <w:rsid w:val="0BF5093F"/>
    <w:rsid w:val="0BFD5229"/>
    <w:rsid w:val="0C0238B6"/>
    <w:rsid w:val="0C095932"/>
    <w:rsid w:val="0C0D7E74"/>
    <w:rsid w:val="0C1309B3"/>
    <w:rsid w:val="0C154760"/>
    <w:rsid w:val="0C166DCE"/>
    <w:rsid w:val="0C2565F7"/>
    <w:rsid w:val="0C312359"/>
    <w:rsid w:val="0C370695"/>
    <w:rsid w:val="0C38015F"/>
    <w:rsid w:val="0C385E6D"/>
    <w:rsid w:val="0C4147F3"/>
    <w:rsid w:val="0C4B0B48"/>
    <w:rsid w:val="0C546A20"/>
    <w:rsid w:val="0C593A85"/>
    <w:rsid w:val="0C6658D4"/>
    <w:rsid w:val="0C6963A5"/>
    <w:rsid w:val="0C6A762B"/>
    <w:rsid w:val="0C6B61EE"/>
    <w:rsid w:val="0C6F3B75"/>
    <w:rsid w:val="0C8607FB"/>
    <w:rsid w:val="0C8C56BB"/>
    <w:rsid w:val="0C932F02"/>
    <w:rsid w:val="0C933B09"/>
    <w:rsid w:val="0C97046E"/>
    <w:rsid w:val="0CA20DF1"/>
    <w:rsid w:val="0CA53F3A"/>
    <w:rsid w:val="0CA87886"/>
    <w:rsid w:val="0CAF57CC"/>
    <w:rsid w:val="0CBE1C5E"/>
    <w:rsid w:val="0CC04B54"/>
    <w:rsid w:val="0CC06DC6"/>
    <w:rsid w:val="0CC12374"/>
    <w:rsid w:val="0CC41DD4"/>
    <w:rsid w:val="0CC56735"/>
    <w:rsid w:val="0CC92786"/>
    <w:rsid w:val="0CD83387"/>
    <w:rsid w:val="0CDA6B23"/>
    <w:rsid w:val="0CDC30C8"/>
    <w:rsid w:val="0CDC5AA4"/>
    <w:rsid w:val="0CDD6EE1"/>
    <w:rsid w:val="0CDF4AFB"/>
    <w:rsid w:val="0CE94F94"/>
    <w:rsid w:val="0CED067B"/>
    <w:rsid w:val="0CFC6488"/>
    <w:rsid w:val="0CFF00B2"/>
    <w:rsid w:val="0D0309E4"/>
    <w:rsid w:val="0D1158BC"/>
    <w:rsid w:val="0D1D5BF4"/>
    <w:rsid w:val="0D201A95"/>
    <w:rsid w:val="0D286E37"/>
    <w:rsid w:val="0D2E4510"/>
    <w:rsid w:val="0D2E7CDA"/>
    <w:rsid w:val="0D4A61F6"/>
    <w:rsid w:val="0D5A4C9D"/>
    <w:rsid w:val="0D5E127F"/>
    <w:rsid w:val="0D606801"/>
    <w:rsid w:val="0D636535"/>
    <w:rsid w:val="0D777890"/>
    <w:rsid w:val="0D790005"/>
    <w:rsid w:val="0D793F75"/>
    <w:rsid w:val="0D8323B8"/>
    <w:rsid w:val="0D8D3FD0"/>
    <w:rsid w:val="0D8F3E2F"/>
    <w:rsid w:val="0D900001"/>
    <w:rsid w:val="0D947DEF"/>
    <w:rsid w:val="0D993238"/>
    <w:rsid w:val="0D9960F6"/>
    <w:rsid w:val="0D9B3836"/>
    <w:rsid w:val="0D9D017D"/>
    <w:rsid w:val="0DA153BE"/>
    <w:rsid w:val="0DA24802"/>
    <w:rsid w:val="0DA570AA"/>
    <w:rsid w:val="0DB87064"/>
    <w:rsid w:val="0DC80D06"/>
    <w:rsid w:val="0DD37D4F"/>
    <w:rsid w:val="0DD86494"/>
    <w:rsid w:val="0DD91F3D"/>
    <w:rsid w:val="0DE1509D"/>
    <w:rsid w:val="0DED31DA"/>
    <w:rsid w:val="0DF849E2"/>
    <w:rsid w:val="0DF85636"/>
    <w:rsid w:val="0DFF2925"/>
    <w:rsid w:val="0E020709"/>
    <w:rsid w:val="0E037125"/>
    <w:rsid w:val="0E087379"/>
    <w:rsid w:val="0E0F2E28"/>
    <w:rsid w:val="0E105F97"/>
    <w:rsid w:val="0E111189"/>
    <w:rsid w:val="0E15148E"/>
    <w:rsid w:val="0E16133B"/>
    <w:rsid w:val="0E1A54A6"/>
    <w:rsid w:val="0E1D4C94"/>
    <w:rsid w:val="0E1E01D2"/>
    <w:rsid w:val="0E237ECF"/>
    <w:rsid w:val="0E2C57A6"/>
    <w:rsid w:val="0E2E1FA8"/>
    <w:rsid w:val="0E3A08A5"/>
    <w:rsid w:val="0E3B4AAC"/>
    <w:rsid w:val="0E444E25"/>
    <w:rsid w:val="0E4528EE"/>
    <w:rsid w:val="0E463841"/>
    <w:rsid w:val="0E463F6A"/>
    <w:rsid w:val="0E476241"/>
    <w:rsid w:val="0E4860E1"/>
    <w:rsid w:val="0E490AEC"/>
    <w:rsid w:val="0E4E095A"/>
    <w:rsid w:val="0E533A22"/>
    <w:rsid w:val="0E5400D2"/>
    <w:rsid w:val="0E563ECD"/>
    <w:rsid w:val="0E5D50FC"/>
    <w:rsid w:val="0E5E0B3E"/>
    <w:rsid w:val="0E6260ED"/>
    <w:rsid w:val="0E6D75F7"/>
    <w:rsid w:val="0E7073F8"/>
    <w:rsid w:val="0E7A7A80"/>
    <w:rsid w:val="0E801240"/>
    <w:rsid w:val="0E843002"/>
    <w:rsid w:val="0E8D2FCC"/>
    <w:rsid w:val="0E94261D"/>
    <w:rsid w:val="0E987FFF"/>
    <w:rsid w:val="0E9944EA"/>
    <w:rsid w:val="0E9C4E00"/>
    <w:rsid w:val="0EA06123"/>
    <w:rsid w:val="0EA55D77"/>
    <w:rsid w:val="0EB331E4"/>
    <w:rsid w:val="0EB5186D"/>
    <w:rsid w:val="0EBF43D5"/>
    <w:rsid w:val="0EC419EC"/>
    <w:rsid w:val="0ED11030"/>
    <w:rsid w:val="0ED45063"/>
    <w:rsid w:val="0ED629D9"/>
    <w:rsid w:val="0ED86D8A"/>
    <w:rsid w:val="0EDA3323"/>
    <w:rsid w:val="0EDA6A03"/>
    <w:rsid w:val="0EE024C9"/>
    <w:rsid w:val="0EE216E8"/>
    <w:rsid w:val="0EEB3C41"/>
    <w:rsid w:val="0EF16957"/>
    <w:rsid w:val="0EFA0064"/>
    <w:rsid w:val="0EFD4B79"/>
    <w:rsid w:val="0F090320"/>
    <w:rsid w:val="0F092098"/>
    <w:rsid w:val="0F0C6E52"/>
    <w:rsid w:val="0F180126"/>
    <w:rsid w:val="0F206D18"/>
    <w:rsid w:val="0F3E4FBF"/>
    <w:rsid w:val="0F4527B9"/>
    <w:rsid w:val="0F4838EA"/>
    <w:rsid w:val="0F491260"/>
    <w:rsid w:val="0F4E567B"/>
    <w:rsid w:val="0F5070D3"/>
    <w:rsid w:val="0F527A16"/>
    <w:rsid w:val="0F552295"/>
    <w:rsid w:val="0F555D3E"/>
    <w:rsid w:val="0F596082"/>
    <w:rsid w:val="0F5A4C3C"/>
    <w:rsid w:val="0F680516"/>
    <w:rsid w:val="0F6B05BA"/>
    <w:rsid w:val="0F7331B1"/>
    <w:rsid w:val="0F830CF9"/>
    <w:rsid w:val="0F835DE1"/>
    <w:rsid w:val="0F845C87"/>
    <w:rsid w:val="0F8807D3"/>
    <w:rsid w:val="0F8C7EC0"/>
    <w:rsid w:val="0F9069D9"/>
    <w:rsid w:val="0F985025"/>
    <w:rsid w:val="0FA715B7"/>
    <w:rsid w:val="0FAB0735"/>
    <w:rsid w:val="0FAB73CF"/>
    <w:rsid w:val="0FB33DBD"/>
    <w:rsid w:val="0FBA136E"/>
    <w:rsid w:val="0FC67596"/>
    <w:rsid w:val="0FCF6299"/>
    <w:rsid w:val="0FD22B86"/>
    <w:rsid w:val="0FD23538"/>
    <w:rsid w:val="0FE46AE5"/>
    <w:rsid w:val="0FEA7956"/>
    <w:rsid w:val="0FED5FE3"/>
    <w:rsid w:val="0FF2619D"/>
    <w:rsid w:val="0FF36E45"/>
    <w:rsid w:val="0FF82BFE"/>
    <w:rsid w:val="10002E78"/>
    <w:rsid w:val="10021C8E"/>
    <w:rsid w:val="100A088B"/>
    <w:rsid w:val="100D6538"/>
    <w:rsid w:val="100E0F3F"/>
    <w:rsid w:val="10120548"/>
    <w:rsid w:val="10126035"/>
    <w:rsid w:val="101D1BBB"/>
    <w:rsid w:val="101E557F"/>
    <w:rsid w:val="10220902"/>
    <w:rsid w:val="10273174"/>
    <w:rsid w:val="10280FE6"/>
    <w:rsid w:val="1030329B"/>
    <w:rsid w:val="10324889"/>
    <w:rsid w:val="10351C5D"/>
    <w:rsid w:val="10372E40"/>
    <w:rsid w:val="10377484"/>
    <w:rsid w:val="10417AB4"/>
    <w:rsid w:val="104A41B1"/>
    <w:rsid w:val="105E407C"/>
    <w:rsid w:val="1075299E"/>
    <w:rsid w:val="107921C2"/>
    <w:rsid w:val="107E07FE"/>
    <w:rsid w:val="10843C64"/>
    <w:rsid w:val="108B5C75"/>
    <w:rsid w:val="10927871"/>
    <w:rsid w:val="109B2457"/>
    <w:rsid w:val="10A86948"/>
    <w:rsid w:val="10AA1215"/>
    <w:rsid w:val="10AC5DB4"/>
    <w:rsid w:val="10BC41A8"/>
    <w:rsid w:val="10BD4B6E"/>
    <w:rsid w:val="10C0129B"/>
    <w:rsid w:val="10C32E2F"/>
    <w:rsid w:val="10CA79BF"/>
    <w:rsid w:val="10D948AF"/>
    <w:rsid w:val="10DB0DFC"/>
    <w:rsid w:val="10DB6AC5"/>
    <w:rsid w:val="10E55858"/>
    <w:rsid w:val="10E8122E"/>
    <w:rsid w:val="10E93D19"/>
    <w:rsid w:val="10F005F6"/>
    <w:rsid w:val="10F16B8E"/>
    <w:rsid w:val="11002024"/>
    <w:rsid w:val="1101215E"/>
    <w:rsid w:val="1107086A"/>
    <w:rsid w:val="110A63B9"/>
    <w:rsid w:val="111508F5"/>
    <w:rsid w:val="11187121"/>
    <w:rsid w:val="112467A8"/>
    <w:rsid w:val="112545FE"/>
    <w:rsid w:val="112673D2"/>
    <w:rsid w:val="11272A81"/>
    <w:rsid w:val="112813EC"/>
    <w:rsid w:val="11343C71"/>
    <w:rsid w:val="113A2F43"/>
    <w:rsid w:val="113D2902"/>
    <w:rsid w:val="1140061F"/>
    <w:rsid w:val="11406900"/>
    <w:rsid w:val="11432411"/>
    <w:rsid w:val="114B0EAA"/>
    <w:rsid w:val="1150476A"/>
    <w:rsid w:val="11511756"/>
    <w:rsid w:val="11560B91"/>
    <w:rsid w:val="11563B20"/>
    <w:rsid w:val="115F619C"/>
    <w:rsid w:val="1166278E"/>
    <w:rsid w:val="116E28E7"/>
    <w:rsid w:val="1170636B"/>
    <w:rsid w:val="11726C24"/>
    <w:rsid w:val="11791BDA"/>
    <w:rsid w:val="118151C6"/>
    <w:rsid w:val="11900568"/>
    <w:rsid w:val="119D25D7"/>
    <w:rsid w:val="11A3453B"/>
    <w:rsid w:val="11A5473B"/>
    <w:rsid w:val="11AA18AD"/>
    <w:rsid w:val="11AF5A91"/>
    <w:rsid w:val="11B13A44"/>
    <w:rsid w:val="11B469EC"/>
    <w:rsid w:val="11B64B9D"/>
    <w:rsid w:val="11B70129"/>
    <w:rsid w:val="11BA3C77"/>
    <w:rsid w:val="11C34C5A"/>
    <w:rsid w:val="11C35EBE"/>
    <w:rsid w:val="11C82E11"/>
    <w:rsid w:val="11C949CA"/>
    <w:rsid w:val="11CB40E2"/>
    <w:rsid w:val="11CB5A56"/>
    <w:rsid w:val="11CD0310"/>
    <w:rsid w:val="11CF64D1"/>
    <w:rsid w:val="11D27F85"/>
    <w:rsid w:val="11D7281B"/>
    <w:rsid w:val="11D93657"/>
    <w:rsid w:val="11E57CD7"/>
    <w:rsid w:val="11E62926"/>
    <w:rsid w:val="11E7019B"/>
    <w:rsid w:val="11F12249"/>
    <w:rsid w:val="12041F1C"/>
    <w:rsid w:val="120B35D2"/>
    <w:rsid w:val="120C60C8"/>
    <w:rsid w:val="12126BE3"/>
    <w:rsid w:val="121C2BD8"/>
    <w:rsid w:val="12244421"/>
    <w:rsid w:val="122641D1"/>
    <w:rsid w:val="12273289"/>
    <w:rsid w:val="12292105"/>
    <w:rsid w:val="123A15D8"/>
    <w:rsid w:val="123F1856"/>
    <w:rsid w:val="124A1D2C"/>
    <w:rsid w:val="124F40E9"/>
    <w:rsid w:val="125B5D86"/>
    <w:rsid w:val="12614F87"/>
    <w:rsid w:val="126659B4"/>
    <w:rsid w:val="126F5ED9"/>
    <w:rsid w:val="12771ACB"/>
    <w:rsid w:val="12892C0E"/>
    <w:rsid w:val="1299328B"/>
    <w:rsid w:val="12A035E9"/>
    <w:rsid w:val="12A04B9A"/>
    <w:rsid w:val="12A30DA6"/>
    <w:rsid w:val="12A31A6A"/>
    <w:rsid w:val="12AE184F"/>
    <w:rsid w:val="12BB714B"/>
    <w:rsid w:val="12BB7B92"/>
    <w:rsid w:val="12C23A7C"/>
    <w:rsid w:val="12C744D8"/>
    <w:rsid w:val="12D03C66"/>
    <w:rsid w:val="12D37006"/>
    <w:rsid w:val="12D919C1"/>
    <w:rsid w:val="12E04EEB"/>
    <w:rsid w:val="12E94BA8"/>
    <w:rsid w:val="12EF7344"/>
    <w:rsid w:val="12F55F70"/>
    <w:rsid w:val="13071321"/>
    <w:rsid w:val="130A3353"/>
    <w:rsid w:val="131175E5"/>
    <w:rsid w:val="13136C38"/>
    <w:rsid w:val="13154A51"/>
    <w:rsid w:val="131B0C66"/>
    <w:rsid w:val="13332E61"/>
    <w:rsid w:val="13380869"/>
    <w:rsid w:val="133A74E5"/>
    <w:rsid w:val="13410BBA"/>
    <w:rsid w:val="134156A3"/>
    <w:rsid w:val="134A2083"/>
    <w:rsid w:val="13585B2A"/>
    <w:rsid w:val="13615054"/>
    <w:rsid w:val="136D25E4"/>
    <w:rsid w:val="136E457E"/>
    <w:rsid w:val="136F6A51"/>
    <w:rsid w:val="13755EB2"/>
    <w:rsid w:val="1381155A"/>
    <w:rsid w:val="138453C4"/>
    <w:rsid w:val="138541F2"/>
    <w:rsid w:val="13877DCB"/>
    <w:rsid w:val="13887B1A"/>
    <w:rsid w:val="13896FCC"/>
    <w:rsid w:val="13961B0B"/>
    <w:rsid w:val="139F2E5E"/>
    <w:rsid w:val="13A23966"/>
    <w:rsid w:val="13A35911"/>
    <w:rsid w:val="13A407E7"/>
    <w:rsid w:val="13A47BFE"/>
    <w:rsid w:val="13A95433"/>
    <w:rsid w:val="13AB06B4"/>
    <w:rsid w:val="13B0729A"/>
    <w:rsid w:val="13B25FA6"/>
    <w:rsid w:val="13B773EB"/>
    <w:rsid w:val="13B955EA"/>
    <w:rsid w:val="13C070DC"/>
    <w:rsid w:val="13C33F9D"/>
    <w:rsid w:val="13C4002F"/>
    <w:rsid w:val="13C82603"/>
    <w:rsid w:val="13C87C3A"/>
    <w:rsid w:val="13E3389E"/>
    <w:rsid w:val="13E67824"/>
    <w:rsid w:val="13E84D13"/>
    <w:rsid w:val="13ED6898"/>
    <w:rsid w:val="13F46DFC"/>
    <w:rsid w:val="140664B1"/>
    <w:rsid w:val="14093876"/>
    <w:rsid w:val="140C55EA"/>
    <w:rsid w:val="14162BF8"/>
    <w:rsid w:val="14166484"/>
    <w:rsid w:val="14197E9B"/>
    <w:rsid w:val="141D252C"/>
    <w:rsid w:val="141F550D"/>
    <w:rsid w:val="141F552E"/>
    <w:rsid w:val="142028B9"/>
    <w:rsid w:val="14242A9B"/>
    <w:rsid w:val="14293FDD"/>
    <w:rsid w:val="142B19AB"/>
    <w:rsid w:val="14335E33"/>
    <w:rsid w:val="14343277"/>
    <w:rsid w:val="14472E7F"/>
    <w:rsid w:val="144A32D1"/>
    <w:rsid w:val="144B5F53"/>
    <w:rsid w:val="145742EB"/>
    <w:rsid w:val="14593173"/>
    <w:rsid w:val="145D7218"/>
    <w:rsid w:val="14663754"/>
    <w:rsid w:val="14695629"/>
    <w:rsid w:val="1470604A"/>
    <w:rsid w:val="147A3327"/>
    <w:rsid w:val="147E7EFC"/>
    <w:rsid w:val="148056E8"/>
    <w:rsid w:val="148562C2"/>
    <w:rsid w:val="14857BC8"/>
    <w:rsid w:val="148A09EC"/>
    <w:rsid w:val="148C5306"/>
    <w:rsid w:val="149E4122"/>
    <w:rsid w:val="14B16945"/>
    <w:rsid w:val="14B510BC"/>
    <w:rsid w:val="14BE3BD0"/>
    <w:rsid w:val="14C772D4"/>
    <w:rsid w:val="14C91781"/>
    <w:rsid w:val="14CA588A"/>
    <w:rsid w:val="14CB1D50"/>
    <w:rsid w:val="14CB598A"/>
    <w:rsid w:val="14CF2CA5"/>
    <w:rsid w:val="14D53920"/>
    <w:rsid w:val="14D74531"/>
    <w:rsid w:val="14DB12B2"/>
    <w:rsid w:val="14DF2C70"/>
    <w:rsid w:val="14E36FB1"/>
    <w:rsid w:val="14E446B9"/>
    <w:rsid w:val="14E453F1"/>
    <w:rsid w:val="14E60E10"/>
    <w:rsid w:val="14ED2581"/>
    <w:rsid w:val="14F20518"/>
    <w:rsid w:val="14F71157"/>
    <w:rsid w:val="14F94754"/>
    <w:rsid w:val="15072773"/>
    <w:rsid w:val="15075411"/>
    <w:rsid w:val="15095839"/>
    <w:rsid w:val="150F2E6F"/>
    <w:rsid w:val="15183FE5"/>
    <w:rsid w:val="151D60E3"/>
    <w:rsid w:val="151F2A96"/>
    <w:rsid w:val="1524211C"/>
    <w:rsid w:val="1530340C"/>
    <w:rsid w:val="15443470"/>
    <w:rsid w:val="154A733D"/>
    <w:rsid w:val="1552183E"/>
    <w:rsid w:val="155D44F6"/>
    <w:rsid w:val="155E7216"/>
    <w:rsid w:val="1568195A"/>
    <w:rsid w:val="156825AE"/>
    <w:rsid w:val="156A20EE"/>
    <w:rsid w:val="157648A9"/>
    <w:rsid w:val="15794688"/>
    <w:rsid w:val="157D25F1"/>
    <w:rsid w:val="158013B3"/>
    <w:rsid w:val="15897466"/>
    <w:rsid w:val="158C012D"/>
    <w:rsid w:val="158D5643"/>
    <w:rsid w:val="15903FC7"/>
    <w:rsid w:val="159213D6"/>
    <w:rsid w:val="1594375E"/>
    <w:rsid w:val="159D2A18"/>
    <w:rsid w:val="159D2AA8"/>
    <w:rsid w:val="15A20E36"/>
    <w:rsid w:val="15A73FE1"/>
    <w:rsid w:val="15AF1E97"/>
    <w:rsid w:val="15BB7678"/>
    <w:rsid w:val="15BC3A0F"/>
    <w:rsid w:val="15C11C13"/>
    <w:rsid w:val="15CF264A"/>
    <w:rsid w:val="15CF3C06"/>
    <w:rsid w:val="15CF6FF0"/>
    <w:rsid w:val="15D17D83"/>
    <w:rsid w:val="15E016A8"/>
    <w:rsid w:val="15E2295A"/>
    <w:rsid w:val="15E40909"/>
    <w:rsid w:val="15F15C2C"/>
    <w:rsid w:val="15F97B47"/>
    <w:rsid w:val="16071DD9"/>
    <w:rsid w:val="1609222F"/>
    <w:rsid w:val="160C5D02"/>
    <w:rsid w:val="16184098"/>
    <w:rsid w:val="161F7166"/>
    <w:rsid w:val="16211A64"/>
    <w:rsid w:val="16220D9F"/>
    <w:rsid w:val="1628366A"/>
    <w:rsid w:val="16290D5F"/>
    <w:rsid w:val="162C4C37"/>
    <w:rsid w:val="16321739"/>
    <w:rsid w:val="16322CA9"/>
    <w:rsid w:val="16340060"/>
    <w:rsid w:val="163409FD"/>
    <w:rsid w:val="16343981"/>
    <w:rsid w:val="164925E6"/>
    <w:rsid w:val="164C0B16"/>
    <w:rsid w:val="164D2E97"/>
    <w:rsid w:val="164E786D"/>
    <w:rsid w:val="16564ED8"/>
    <w:rsid w:val="165D1CCD"/>
    <w:rsid w:val="16695F27"/>
    <w:rsid w:val="166B2C03"/>
    <w:rsid w:val="166B2D98"/>
    <w:rsid w:val="166C3226"/>
    <w:rsid w:val="16744501"/>
    <w:rsid w:val="1678043E"/>
    <w:rsid w:val="167A093E"/>
    <w:rsid w:val="167B5198"/>
    <w:rsid w:val="167E6CA3"/>
    <w:rsid w:val="167F4B95"/>
    <w:rsid w:val="16825E59"/>
    <w:rsid w:val="168F2701"/>
    <w:rsid w:val="16956647"/>
    <w:rsid w:val="16962C25"/>
    <w:rsid w:val="169708B7"/>
    <w:rsid w:val="169D0E74"/>
    <w:rsid w:val="16A0455F"/>
    <w:rsid w:val="16B661DE"/>
    <w:rsid w:val="16B71280"/>
    <w:rsid w:val="16BF5817"/>
    <w:rsid w:val="16C26B2D"/>
    <w:rsid w:val="16DB5435"/>
    <w:rsid w:val="16E135E7"/>
    <w:rsid w:val="16E21427"/>
    <w:rsid w:val="16E218B5"/>
    <w:rsid w:val="16E75618"/>
    <w:rsid w:val="17033117"/>
    <w:rsid w:val="170C751B"/>
    <w:rsid w:val="17100CA3"/>
    <w:rsid w:val="17174AB2"/>
    <w:rsid w:val="17176555"/>
    <w:rsid w:val="17274C8F"/>
    <w:rsid w:val="172F59B8"/>
    <w:rsid w:val="173C59AC"/>
    <w:rsid w:val="173F20E2"/>
    <w:rsid w:val="174F5DA2"/>
    <w:rsid w:val="176D6D62"/>
    <w:rsid w:val="177200CD"/>
    <w:rsid w:val="177B1ED9"/>
    <w:rsid w:val="177F62FA"/>
    <w:rsid w:val="17866843"/>
    <w:rsid w:val="178A1016"/>
    <w:rsid w:val="178E0BAF"/>
    <w:rsid w:val="178E0E4C"/>
    <w:rsid w:val="178F26BA"/>
    <w:rsid w:val="17906430"/>
    <w:rsid w:val="17942194"/>
    <w:rsid w:val="179A5E10"/>
    <w:rsid w:val="17A76445"/>
    <w:rsid w:val="17A816D3"/>
    <w:rsid w:val="17A84C85"/>
    <w:rsid w:val="17A86A84"/>
    <w:rsid w:val="17BE2E31"/>
    <w:rsid w:val="17C271C7"/>
    <w:rsid w:val="17C77396"/>
    <w:rsid w:val="17C802C3"/>
    <w:rsid w:val="17C84858"/>
    <w:rsid w:val="17D46671"/>
    <w:rsid w:val="17E25684"/>
    <w:rsid w:val="17E94BEE"/>
    <w:rsid w:val="17EC5142"/>
    <w:rsid w:val="17F558E5"/>
    <w:rsid w:val="17F7123E"/>
    <w:rsid w:val="17F93750"/>
    <w:rsid w:val="17FA253A"/>
    <w:rsid w:val="17FA2DCA"/>
    <w:rsid w:val="17FA3EFA"/>
    <w:rsid w:val="18071145"/>
    <w:rsid w:val="180D1861"/>
    <w:rsid w:val="18211619"/>
    <w:rsid w:val="1824021D"/>
    <w:rsid w:val="182727AA"/>
    <w:rsid w:val="182C3C1D"/>
    <w:rsid w:val="18463A37"/>
    <w:rsid w:val="18597D61"/>
    <w:rsid w:val="185C2DF9"/>
    <w:rsid w:val="185E27E0"/>
    <w:rsid w:val="186456CD"/>
    <w:rsid w:val="18690252"/>
    <w:rsid w:val="186921BE"/>
    <w:rsid w:val="186A253C"/>
    <w:rsid w:val="186A35F2"/>
    <w:rsid w:val="186B6507"/>
    <w:rsid w:val="186C2B04"/>
    <w:rsid w:val="186E07BA"/>
    <w:rsid w:val="187602DD"/>
    <w:rsid w:val="18764A71"/>
    <w:rsid w:val="18782953"/>
    <w:rsid w:val="18806E60"/>
    <w:rsid w:val="188414D8"/>
    <w:rsid w:val="18906360"/>
    <w:rsid w:val="18921538"/>
    <w:rsid w:val="18960A15"/>
    <w:rsid w:val="189E12C3"/>
    <w:rsid w:val="189E32A4"/>
    <w:rsid w:val="189F1A93"/>
    <w:rsid w:val="18A34073"/>
    <w:rsid w:val="18A57E34"/>
    <w:rsid w:val="18A77792"/>
    <w:rsid w:val="18AA6087"/>
    <w:rsid w:val="18B07129"/>
    <w:rsid w:val="18B452A5"/>
    <w:rsid w:val="18BA4F49"/>
    <w:rsid w:val="18BD055D"/>
    <w:rsid w:val="18BE27ED"/>
    <w:rsid w:val="18C04A46"/>
    <w:rsid w:val="18C4037B"/>
    <w:rsid w:val="18C56061"/>
    <w:rsid w:val="18CF6F08"/>
    <w:rsid w:val="18CF7EBE"/>
    <w:rsid w:val="18D764B0"/>
    <w:rsid w:val="18D92B7A"/>
    <w:rsid w:val="18DC1446"/>
    <w:rsid w:val="18E15170"/>
    <w:rsid w:val="18E82CB1"/>
    <w:rsid w:val="18F4450F"/>
    <w:rsid w:val="18FE716C"/>
    <w:rsid w:val="18FF308F"/>
    <w:rsid w:val="190F6CF0"/>
    <w:rsid w:val="19137DBD"/>
    <w:rsid w:val="191519CB"/>
    <w:rsid w:val="19263C11"/>
    <w:rsid w:val="19364034"/>
    <w:rsid w:val="1938580E"/>
    <w:rsid w:val="193B0C6C"/>
    <w:rsid w:val="1949544B"/>
    <w:rsid w:val="194B6D06"/>
    <w:rsid w:val="19580F07"/>
    <w:rsid w:val="196C060A"/>
    <w:rsid w:val="196C5C29"/>
    <w:rsid w:val="197226D6"/>
    <w:rsid w:val="197B045A"/>
    <w:rsid w:val="198C4B67"/>
    <w:rsid w:val="198D5036"/>
    <w:rsid w:val="19911370"/>
    <w:rsid w:val="199C4521"/>
    <w:rsid w:val="199E3D57"/>
    <w:rsid w:val="19A15120"/>
    <w:rsid w:val="19A50686"/>
    <w:rsid w:val="19A60597"/>
    <w:rsid w:val="19A748CE"/>
    <w:rsid w:val="19B35CBB"/>
    <w:rsid w:val="19B53F29"/>
    <w:rsid w:val="19BB4AC7"/>
    <w:rsid w:val="19C81E16"/>
    <w:rsid w:val="19C90485"/>
    <w:rsid w:val="19D0425F"/>
    <w:rsid w:val="19E33EF6"/>
    <w:rsid w:val="19ED1019"/>
    <w:rsid w:val="19EE1E33"/>
    <w:rsid w:val="19F30FD0"/>
    <w:rsid w:val="19F34D14"/>
    <w:rsid w:val="19F716CA"/>
    <w:rsid w:val="19F900BF"/>
    <w:rsid w:val="19F90D6C"/>
    <w:rsid w:val="19FC5289"/>
    <w:rsid w:val="1A061C69"/>
    <w:rsid w:val="1A084125"/>
    <w:rsid w:val="1A084634"/>
    <w:rsid w:val="1A084FA6"/>
    <w:rsid w:val="1A0931E6"/>
    <w:rsid w:val="1A0B22C7"/>
    <w:rsid w:val="1A0E734C"/>
    <w:rsid w:val="1A146B09"/>
    <w:rsid w:val="1A1718C8"/>
    <w:rsid w:val="1A182556"/>
    <w:rsid w:val="1A1D39FB"/>
    <w:rsid w:val="1A2C6661"/>
    <w:rsid w:val="1A33410B"/>
    <w:rsid w:val="1A3D4066"/>
    <w:rsid w:val="1A422421"/>
    <w:rsid w:val="1A434F5D"/>
    <w:rsid w:val="1A4864A7"/>
    <w:rsid w:val="1A497AC2"/>
    <w:rsid w:val="1A4B1A7C"/>
    <w:rsid w:val="1A5522FD"/>
    <w:rsid w:val="1A5846A0"/>
    <w:rsid w:val="1A5B75BD"/>
    <w:rsid w:val="1A5C1E8C"/>
    <w:rsid w:val="1A6307DF"/>
    <w:rsid w:val="1A684E92"/>
    <w:rsid w:val="1A6A3851"/>
    <w:rsid w:val="1A750BFC"/>
    <w:rsid w:val="1A766871"/>
    <w:rsid w:val="1A7E2B00"/>
    <w:rsid w:val="1A8A4647"/>
    <w:rsid w:val="1A9723B6"/>
    <w:rsid w:val="1A9E2B8D"/>
    <w:rsid w:val="1AA34AA6"/>
    <w:rsid w:val="1AA93183"/>
    <w:rsid w:val="1AAC781B"/>
    <w:rsid w:val="1AB44A07"/>
    <w:rsid w:val="1AB5764A"/>
    <w:rsid w:val="1AC4365C"/>
    <w:rsid w:val="1AD13FFB"/>
    <w:rsid w:val="1AD41623"/>
    <w:rsid w:val="1ADA1B4E"/>
    <w:rsid w:val="1AE11686"/>
    <w:rsid w:val="1AE83066"/>
    <w:rsid w:val="1AED05E1"/>
    <w:rsid w:val="1AED0D4A"/>
    <w:rsid w:val="1AF00F47"/>
    <w:rsid w:val="1AF046CF"/>
    <w:rsid w:val="1AF418C0"/>
    <w:rsid w:val="1B074284"/>
    <w:rsid w:val="1B152CDB"/>
    <w:rsid w:val="1B1900EC"/>
    <w:rsid w:val="1B24725D"/>
    <w:rsid w:val="1B2B048F"/>
    <w:rsid w:val="1B2D0515"/>
    <w:rsid w:val="1B301CAE"/>
    <w:rsid w:val="1B3449F3"/>
    <w:rsid w:val="1B3A7BAD"/>
    <w:rsid w:val="1B3D3E36"/>
    <w:rsid w:val="1B4A445D"/>
    <w:rsid w:val="1B4D4C2F"/>
    <w:rsid w:val="1B4E4762"/>
    <w:rsid w:val="1B4F0D46"/>
    <w:rsid w:val="1B5752AC"/>
    <w:rsid w:val="1B5D75AD"/>
    <w:rsid w:val="1B605A24"/>
    <w:rsid w:val="1B67625B"/>
    <w:rsid w:val="1B695DFB"/>
    <w:rsid w:val="1B6B336B"/>
    <w:rsid w:val="1B7551B8"/>
    <w:rsid w:val="1B7F1C39"/>
    <w:rsid w:val="1B7F7BA2"/>
    <w:rsid w:val="1B857D11"/>
    <w:rsid w:val="1B861274"/>
    <w:rsid w:val="1B8E1561"/>
    <w:rsid w:val="1B8E253E"/>
    <w:rsid w:val="1B9369D7"/>
    <w:rsid w:val="1B940F60"/>
    <w:rsid w:val="1B94573C"/>
    <w:rsid w:val="1B9E5564"/>
    <w:rsid w:val="1BAF5377"/>
    <w:rsid w:val="1BCB06DF"/>
    <w:rsid w:val="1BCB3B13"/>
    <w:rsid w:val="1BD57B8D"/>
    <w:rsid w:val="1BDF67D9"/>
    <w:rsid w:val="1BEE1FC3"/>
    <w:rsid w:val="1BF015D4"/>
    <w:rsid w:val="1BF21BB3"/>
    <w:rsid w:val="1BF80B18"/>
    <w:rsid w:val="1C076142"/>
    <w:rsid w:val="1C103C4A"/>
    <w:rsid w:val="1C121A19"/>
    <w:rsid w:val="1C19483C"/>
    <w:rsid w:val="1C213008"/>
    <w:rsid w:val="1C260736"/>
    <w:rsid w:val="1C3030F3"/>
    <w:rsid w:val="1C347AE7"/>
    <w:rsid w:val="1C3709C2"/>
    <w:rsid w:val="1C520A79"/>
    <w:rsid w:val="1C575617"/>
    <w:rsid w:val="1C592E09"/>
    <w:rsid w:val="1C673791"/>
    <w:rsid w:val="1C674BB2"/>
    <w:rsid w:val="1C6C036E"/>
    <w:rsid w:val="1C7320FC"/>
    <w:rsid w:val="1C73352D"/>
    <w:rsid w:val="1C750F91"/>
    <w:rsid w:val="1C783953"/>
    <w:rsid w:val="1C7C3254"/>
    <w:rsid w:val="1C7F0A0D"/>
    <w:rsid w:val="1C842C05"/>
    <w:rsid w:val="1C880D09"/>
    <w:rsid w:val="1C883EE2"/>
    <w:rsid w:val="1C8A5704"/>
    <w:rsid w:val="1C993644"/>
    <w:rsid w:val="1C9D2861"/>
    <w:rsid w:val="1CA30814"/>
    <w:rsid w:val="1CA411B8"/>
    <w:rsid w:val="1CA91C58"/>
    <w:rsid w:val="1CC97385"/>
    <w:rsid w:val="1CD11261"/>
    <w:rsid w:val="1CD8784D"/>
    <w:rsid w:val="1CDB2D68"/>
    <w:rsid w:val="1CF333E6"/>
    <w:rsid w:val="1CF361DB"/>
    <w:rsid w:val="1CFB0F6D"/>
    <w:rsid w:val="1D0055D9"/>
    <w:rsid w:val="1D0565E2"/>
    <w:rsid w:val="1D075E75"/>
    <w:rsid w:val="1D097058"/>
    <w:rsid w:val="1D101740"/>
    <w:rsid w:val="1D163CF4"/>
    <w:rsid w:val="1D182D77"/>
    <w:rsid w:val="1D2122A1"/>
    <w:rsid w:val="1D2357FD"/>
    <w:rsid w:val="1D2D51F1"/>
    <w:rsid w:val="1D37486F"/>
    <w:rsid w:val="1D42071E"/>
    <w:rsid w:val="1D45169C"/>
    <w:rsid w:val="1D4856D1"/>
    <w:rsid w:val="1D486FBE"/>
    <w:rsid w:val="1D4C0A31"/>
    <w:rsid w:val="1D607F49"/>
    <w:rsid w:val="1D617875"/>
    <w:rsid w:val="1D677324"/>
    <w:rsid w:val="1D6B0DE6"/>
    <w:rsid w:val="1D6E2D29"/>
    <w:rsid w:val="1D8C6A7E"/>
    <w:rsid w:val="1D8D5C6C"/>
    <w:rsid w:val="1D8E167F"/>
    <w:rsid w:val="1D9707A8"/>
    <w:rsid w:val="1DA134AF"/>
    <w:rsid w:val="1DA16837"/>
    <w:rsid w:val="1DAE1935"/>
    <w:rsid w:val="1DB95872"/>
    <w:rsid w:val="1DC13873"/>
    <w:rsid w:val="1DC15568"/>
    <w:rsid w:val="1DC42B36"/>
    <w:rsid w:val="1DC77F7C"/>
    <w:rsid w:val="1DD0335C"/>
    <w:rsid w:val="1DE56026"/>
    <w:rsid w:val="1DF924BE"/>
    <w:rsid w:val="1DFC3B16"/>
    <w:rsid w:val="1DFD44BA"/>
    <w:rsid w:val="1E0A1EB4"/>
    <w:rsid w:val="1E1C56BC"/>
    <w:rsid w:val="1E1E21E7"/>
    <w:rsid w:val="1E214F2A"/>
    <w:rsid w:val="1E237736"/>
    <w:rsid w:val="1E242676"/>
    <w:rsid w:val="1E2566DA"/>
    <w:rsid w:val="1E2A4527"/>
    <w:rsid w:val="1E2D48C4"/>
    <w:rsid w:val="1E2D7F5D"/>
    <w:rsid w:val="1E32366D"/>
    <w:rsid w:val="1E3300E4"/>
    <w:rsid w:val="1E3463A0"/>
    <w:rsid w:val="1E474E0D"/>
    <w:rsid w:val="1E510853"/>
    <w:rsid w:val="1E527930"/>
    <w:rsid w:val="1E5C1BD8"/>
    <w:rsid w:val="1E5F74B2"/>
    <w:rsid w:val="1E635018"/>
    <w:rsid w:val="1E6805A9"/>
    <w:rsid w:val="1E6B2D73"/>
    <w:rsid w:val="1E6F712E"/>
    <w:rsid w:val="1E7177FA"/>
    <w:rsid w:val="1E747476"/>
    <w:rsid w:val="1E814CED"/>
    <w:rsid w:val="1E8469F9"/>
    <w:rsid w:val="1E9749F0"/>
    <w:rsid w:val="1E9C5BFF"/>
    <w:rsid w:val="1EAB1199"/>
    <w:rsid w:val="1EC372E7"/>
    <w:rsid w:val="1ECC3FFD"/>
    <w:rsid w:val="1ED173FF"/>
    <w:rsid w:val="1ED2384F"/>
    <w:rsid w:val="1EDB26CA"/>
    <w:rsid w:val="1EDD43FA"/>
    <w:rsid w:val="1EDF453C"/>
    <w:rsid w:val="1EDF476D"/>
    <w:rsid w:val="1EE6171A"/>
    <w:rsid w:val="1EEA697A"/>
    <w:rsid w:val="1EEC0C5C"/>
    <w:rsid w:val="1EF04D86"/>
    <w:rsid w:val="1EF81203"/>
    <w:rsid w:val="1F092813"/>
    <w:rsid w:val="1F0B3EEE"/>
    <w:rsid w:val="1F176E60"/>
    <w:rsid w:val="1F1C59D0"/>
    <w:rsid w:val="1F256BBB"/>
    <w:rsid w:val="1F2822B3"/>
    <w:rsid w:val="1F307D9D"/>
    <w:rsid w:val="1F3541C0"/>
    <w:rsid w:val="1F37018C"/>
    <w:rsid w:val="1F376447"/>
    <w:rsid w:val="1F51433D"/>
    <w:rsid w:val="1F521E7C"/>
    <w:rsid w:val="1F532FA9"/>
    <w:rsid w:val="1F5500CB"/>
    <w:rsid w:val="1F623C55"/>
    <w:rsid w:val="1F705C16"/>
    <w:rsid w:val="1F7539F2"/>
    <w:rsid w:val="1F7A140D"/>
    <w:rsid w:val="1F7C2D1B"/>
    <w:rsid w:val="1F7C4AFF"/>
    <w:rsid w:val="1F847C23"/>
    <w:rsid w:val="1F8B1F95"/>
    <w:rsid w:val="1F8B69B5"/>
    <w:rsid w:val="1F8F0786"/>
    <w:rsid w:val="1F9A340A"/>
    <w:rsid w:val="1F9E22F5"/>
    <w:rsid w:val="1FAE4160"/>
    <w:rsid w:val="1FB31A5F"/>
    <w:rsid w:val="1FC8212B"/>
    <w:rsid w:val="1FC97C87"/>
    <w:rsid w:val="1FCC023A"/>
    <w:rsid w:val="1FCC2DF5"/>
    <w:rsid w:val="1FCE08B2"/>
    <w:rsid w:val="1FDE3F49"/>
    <w:rsid w:val="1FE933AA"/>
    <w:rsid w:val="1FF468DA"/>
    <w:rsid w:val="1FF9105D"/>
    <w:rsid w:val="1FFC3D78"/>
    <w:rsid w:val="200510D9"/>
    <w:rsid w:val="201051B9"/>
    <w:rsid w:val="201216AD"/>
    <w:rsid w:val="201A2520"/>
    <w:rsid w:val="20241C77"/>
    <w:rsid w:val="20280F84"/>
    <w:rsid w:val="203C0B52"/>
    <w:rsid w:val="2040794E"/>
    <w:rsid w:val="20460DDC"/>
    <w:rsid w:val="204D6F6C"/>
    <w:rsid w:val="20506C8E"/>
    <w:rsid w:val="2059246C"/>
    <w:rsid w:val="2061013F"/>
    <w:rsid w:val="207322E4"/>
    <w:rsid w:val="20781866"/>
    <w:rsid w:val="20785235"/>
    <w:rsid w:val="207C7F6E"/>
    <w:rsid w:val="207E6C3D"/>
    <w:rsid w:val="207F43D9"/>
    <w:rsid w:val="208E5A67"/>
    <w:rsid w:val="209128E5"/>
    <w:rsid w:val="20A762F2"/>
    <w:rsid w:val="20A84AFD"/>
    <w:rsid w:val="20B336D0"/>
    <w:rsid w:val="20B805CF"/>
    <w:rsid w:val="20B95752"/>
    <w:rsid w:val="20BA09F2"/>
    <w:rsid w:val="20BF5984"/>
    <w:rsid w:val="20BF7004"/>
    <w:rsid w:val="20C75134"/>
    <w:rsid w:val="20CF70D3"/>
    <w:rsid w:val="20D85658"/>
    <w:rsid w:val="20DA452F"/>
    <w:rsid w:val="20E40D06"/>
    <w:rsid w:val="20E70DDA"/>
    <w:rsid w:val="20EE5292"/>
    <w:rsid w:val="20EE7A98"/>
    <w:rsid w:val="20F012DA"/>
    <w:rsid w:val="20F91B22"/>
    <w:rsid w:val="2102118F"/>
    <w:rsid w:val="210370E2"/>
    <w:rsid w:val="21057CBC"/>
    <w:rsid w:val="210643F0"/>
    <w:rsid w:val="210E3524"/>
    <w:rsid w:val="210F494A"/>
    <w:rsid w:val="21107DFA"/>
    <w:rsid w:val="21126A1E"/>
    <w:rsid w:val="2116490A"/>
    <w:rsid w:val="211A3117"/>
    <w:rsid w:val="211D6ED8"/>
    <w:rsid w:val="21210F03"/>
    <w:rsid w:val="212150B8"/>
    <w:rsid w:val="21365E4F"/>
    <w:rsid w:val="213A5A02"/>
    <w:rsid w:val="21432762"/>
    <w:rsid w:val="215F5D66"/>
    <w:rsid w:val="217413CD"/>
    <w:rsid w:val="217627C5"/>
    <w:rsid w:val="217C62EF"/>
    <w:rsid w:val="21864314"/>
    <w:rsid w:val="21865F85"/>
    <w:rsid w:val="21906017"/>
    <w:rsid w:val="21933051"/>
    <w:rsid w:val="219937B6"/>
    <w:rsid w:val="219B228D"/>
    <w:rsid w:val="219C1847"/>
    <w:rsid w:val="219C7087"/>
    <w:rsid w:val="219D2205"/>
    <w:rsid w:val="21A2770F"/>
    <w:rsid w:val="21A97C41"/>
    <w:rsid w:val="21AA16FB"/>
    <w:rsid w:val="21AA3480"/>
    <w:rsid w:val="21AF4DC3"/>
    <w:rsid w:val="21B03F9D"/>
    <w:rsid w:val="21C06F92"/>
    <w:rsid w:val="21C84E9E"/>
    <w:rsid w:val="21CA5874"/>
    <w:rsid w:val="21CB5CF6"/>
    <w:rsid w:val="21DB649A"/>
    <w:rsid w:val="21DF3601"/>
    <w:rsid w:val="21E27DA0"/>
    <w:rsid w:val="21E5632B"/>
    <w:rsid w:val="21E70736"/>
    <w:rsid w:val="21ED25B6"/>
    <w:rsid w:val="21F143E4"/>
    <w:rsid w:val="21F21B9F"/>
    <w:rsid w:val="21F718D2"/>
    <w:rsid w:val="21FD0FFF"/>
    <w:rsid w:val="220643AF"/>
    <w:rsid w:val="22077889"/>
    <w:rsid w:val="220E44FD"/>
    <w:rsid w:val="22104944"/>
    <w:rsid w:val="22121D33"/>
    <w:rsid w:val="2218661D"/>
    <w:rsid w:val="221A671C"/>
    <w:rsid w:val="2225695B"/>
    <w:rsid w:val="222B4A26"/>
    <w:rsid w:val="224C1EE4"/>
    <w:rsid w:val="224E5006"/>
    <w:rsid w:val="22513127"/>
    <w:rsid w:val="225F4FD4"/>
    <w:rsid w:val="225F71CC"/>
    <w:rsid w:val="22606663"/>
    <w:rsid w:val="226E0F46"/>
    <w:rsid w:val="22794A39"/>
    <w:rsid w:val="227D33B1"/>
    <w:rsid w:val="227E489F"/>
    <w:rsid w:val="22823533"/>
    <w:rsid w:val="22880432"/>
    <w:rsid w:val="228B3EFA"/>
    <w:rsid w:val="228B7D1B"/>
    <w:rsid w:val="22930AC2"/>
    <w:rsid w:val="22981B95"/>
    <w:rsid w:val="229A0584"/>
    <w:rsid w:val="22A51CFF"/>
    <w:rsid w:val="22A5618C"/>
    <w:rsid w:val="22B9400A"/>
    <w:rsid w:val="22BB1853"/>
    <w:rsid w:val="22BC2B4B"/>
    <w:rsid w:val="22C22E9C"/>
    <w:rsid w:val="22CA1EB7"/>
    <w:rsid w:val="22D93FF1"/>
    <w:rsid w:val="22E93299"/>
    <w:rsid w:val="22EB5094"/>
    <w:rsid w:val="22EE7034"/>
    <w:rsid w:val="22FF7187"/>
    <w:rsid w:val="230E7EA4"/>
    <w:rsid w:val="23193EB4"/>
    <w:rsid w:val="231B17F9"/>
    <w:rsid w:val="232667A8"/>
    <w:rsid w:val="23325A6C"/>
    <w:rsid w:val="23331FCF"/>
    <w:rsid w:val="23334F7E"/>
    <w:rsid w:val="233A304E"/>
    <w:rsid w:val="2344186A"/>
    <w:rsid w:val="23531723"/>
    <w:rsid w:val="235511EA"/>
    <w:rsid w:val="235F5EC4"/>
    <w:rsid w:val="23644BFA"/>
    <w:rsid w:val="23690609"/>
    <w:rsid w:val="23691421"/>
    <w:rsid w:val="237A3E4E"/>
    <w:rsid w:val="237E1230"/>
    <w:rsid w:val="2386210B"/>
    <w:rsid w:val="238A29AB"/>
    <w:rsid w:val="238C57F7"/>
    <w:rsid w:val="238E1A8E"/>
    <w:rsid w:val="238F40D9"/>
    <w:rsid w:val="23933508"/>
    <w:rsid w:val="239504D4"/>
    <w:rsid w:val="23950A3C"/>
    <w:rsid w:val="2396438D"/>
    <w:rsid w:val="239F525A"/>
    <w:rsid w:val="23A44BC6"/>
    <w:rsid w:val="23A92C60"/>
    <w:rsid w:val="23AB52C6"/>
    <w:rsid w:val="23B03FD9"/>
    <w:rsid w:val="23B17934"/>
    <w:rsid w:val="23B55677"/>
    <w:rsid w:val="23BA7F5A"/>
    <w:rsid w:val="23C13739"/>
    <w:rsid w:val="23C71602"/>
    <w:rsid w:val="23CA5E72"/>
    <w:rsid w:val="23D066EC"/>
    <w:rsid w:val="23D34F44"/>
    <w:rsid w:val="23D351A5"/>
    <w:rsid w:val="23E11DA2"/>
    <w:rsid w:val="23E235B0"/>
    <w:rsid w:val="23E74E71"/>
    <w:rsid w:val="23ED17D3"/>
    <w:rsid w:val="23F71BEC"/>
    <w:rsid w:val="23F867FF"/>
    <w:rsid w:val="24014F4E"/>
    <w:rsid w:val="24044813"/>
    <w:rsid w:val="240A1718"/>
    <w:rsid w:val="240F7D8B"/>
    <w:rsid w:val="2428389C"/>
    <w:rsid w:val="242A6703"/>
    <w:rsid w:val="2439617A"/>
    <w:rsid w:val="2440206F"/>
    <w:rsid w:val="24462A48"/>
    <w:rsid w:val="244E553B"/>
    <w:rsid w:val="245005B3"/>
    <w:rsid w:val="245B37BE"/>
    <w:rsid w:val="24661A7D"/>
    <w:rsid w:val="247277A2"/>
    <w:rsid w:val="24746AEA"/>
    <w:rsid w:val="247905DE"/>
    <w:rsid w:val="24940315"/>
    <w:rsid w:val="249604BE"/>
    <w:rsid w:val="24A31E88"/>
    <w:rsid w:val="24AB131F"/>
    <w:rsid w:val="24BF08E2"/>
    <w:rsid w:val="24C504EE"/>
    <w:rsid w:val="24CD7C77"/>
    <w:rsid w:val="24D14521"/>
    <w:rsid w:val="24E00310"/>
    <w:rsid w:val="24E164AF"/>
    <w:rsid w:val="24E41B08"/>
    <w:rsid w:val="24E6242C"/>
    <w:rsid w:val="24E65466"/>
    <w:rsid w:val="24E944A8"/>
    <w:rsid w:val="24EA091B"/>
    <w:rsid w:val="24F61130"/>
    <w:rsid w:val="24FA32D7"/>
    <w:rsid w:val="24FB3B1A"/>
    <w:rsid w:val="24FC5064"/>
    <w:rsid w:val="24FE3964"/>
    <w:rsid w:val="25082314"/>
    <w:rsid w:val="250A0B82"/>
    <w:rsid w:val="250B6C88"/>
    <w:rsid w:val="250D16FB"/>
    <w:rsid w:val="250D27EF"/>
    <w:rsid w:val="250F2B73"/>
    <w:rsid w:val="25154D7C"/>
    <w:rsid w:val="25207316"/>
    <w:rsid w:val="25212B2C"/>
    <w:rsid w:val="25373204"/>
    <w:rsid w:val="253A1C68"/>
    <w:rsid w:val="253C7281"/>
    <w:rsid w:val="25401AF0"/>
    <w:rsid w:val="25542A3A"/>
    <w:rsid w:val="25545821"/>
    <w:rsid w:val="255A2BE4"/>
    <w:rsid w:val="255A4BBE"/>
    <w:rsid w:val="25627611"/>
    <w:rsid w:val="25636FED"/>
    <w:rsid w:val="25645A54"/>
    <w:rsid w:val="256733F0"/>
    <w:rsid w:val="25687941"/>
    <w:rsid w:val="25765EE6"/>
    <w:rsid w:val="25772EBB"/>
    <w:rsid w:val="25797FDB"/>
    <w:rsid w:val="257E2881"/>
    <w:rsid w:val="257E28B8"/>
    <w:rsid w:val="2580322B"/>
    <w:rsid w:val="258167E3"/>
    <w:rsid w:val="25826F7E"/>
    <w:rsid w:val="25832019"/>
    <w:rsid w:val="25860C1E"/>
    <w:rsid w:val="259331FE"/>
    <w:rsid w:val="25957FF8"/>
    <w:rsid w:val="25A149AC"/>
    <w:rsid w:val="25AF3F32"/>
    <w:rsid w:val="25B22A3B"/>
    <w:rsid w:val="25B655A6"/>
    <w:rsid w:val="25BA2D11"/>
    <w:rsid w:val="25C654B7"/>
    <w:rsid w:val="25CC6A3A"/>
    <w:rsid w:val="25CE6BE3"/>
    <w:rsid w:val="25D26873"/>
    <w:rsid w:val="25D73322"/>
    <w:rsid w:val="25D97596"/>
    <w:rsid w:val="25DF37D9"/>
    <w:rsid w:val="25E37902"/>
    <w:rsid w:val="25ED312E"/>
    <w:rsid w:val="25F044F9"/>
    <w:rsid w:val="25F43EE0"/>
    <w:rsid w:val="25F64360"/>
    <w:rsid w:val="25F74971"/>
    <w:rsid w:val="25F9627B"/>
    <w:rsid w:val="25FB0431"/>
    <w:rsid w:val="25FC05B6"/>
    <w:rsid w:val="26040109"/>
    <w:rsid w:val="26060A54"/>
    <w:rsid w:val="26061962"/>
    <w:rsid w:val="260F672F"/>
    <w:rsid w:val="26110E03"/>
    <w:rsid w:val="26120F2D"/>
    <w:rsid w:val="261703C2"/>
    <w:rsid w:val="26175540"/>
    <w:rsid w:val="262C2F3C"/>
    <w:rsid w:val="262C56B0"/>
    <w:rsid w:val="263722F1"/>
    <w:rsid w:val="2642755C"/>
    <w:rsid w:val="26452EDC"/>
    <w:rsid w:val="26507D69"/>
    <w:rsid w:val="2658461C"/>
    <w:rsid w:val="26590788"/>
    <w:rsid w:val="265D1B10"/>
    <w:rsid w:val="26640280"/>
    <w:rsid w:val="266A751B"/>
    <w:rsid w:val="266C5762"/>
    <w:rsid w:val="266D04E0"/>
    <w:rsid w:val="267150A0"/>
    <w:rsid w:val="2676220B"/>
    <w:rsid w:val="267976EA"/>
    <w:rsid w:val="267D0DD4"/>
    <w:rsid w:val="267F6564"/>
    <w:rsid w:val="2681066F"/>
    <w:rsid w:val="268D6369"/>
    <w:rsid w:val="268F5850"/>
    <w:rsid w:val="26900E65"/>
    <w:rsid w:val="269308F5"/>
    <w:rsid w:val="26A0140A"/>
    <w:rsid w:val="26A31DBF"/>
    <w:rsid w:val="26A4480F"/>
    <w:rsid w:val="26AB027E"/>
    <w:rsid w:val="26B119F1"/>
    <w:rsid w:val="26BA3C53"/>
    <w:rsid w:val="26BD3478"/>
    <w:rsid w:val="26C115C4"/>
    <w:rsid w:val="26CB5BEC"/>
    <w:rsid w:val="26CE34D2"/>
    <w:rsid w:val="26CE7E81"/>
    <w:rsid w:val="26D17EE9"/>
    <w:rsid w:val="26D26B3A"/>
    <w:rsid w:val="26D51ADE"/>
    <w:rsid w:val="26E57236"/>
    <w:rsid w:val="26E70819"/>
    <w:rsid w:val="26E72ED9"/>
    <w:rsid w:val="26E812D7"/>
    <w:rsid w:val="26E86E1F"/>
    <w:rsid w:val="26ED0B15"/>
    <w:rsid w:val="26F614FF"/>
    <w:rsid w:val="27004AEF"/>
    <w:rsid w:val="27085698"/>
    <w:rsid w:val="270B5410"/>
    <w:rsid w:val="27152075"/>
    <w:rsid w:val="271C1C54"/>
    <w:rsid w:val="271C3FAB"/>
    <w:rsid w:val="271C6DEF"/>
    <w:rsid w:val="2722517B"/>
    <w:rsid w:val="2726309C"/>
    <w:rsid w:val="27293B1D"/>
    <w:rsid w:val="272D7547"/>
    <w:rsid w:val="27325E70"/>
    <w:rsid w:val="27341B93"/>
    <w:rsid w:val="27420834"/>
    <w:rsid w:val="27430D53"/>
    <w:rsid w:val="2743179B"/>
    <w:rsid w:val="274F06E6"/>
    <w:rsid w:val="27537702"/>
    <w:rsid w:val="27553494"/>
    <w:rsid w:val="275E5ED0"/>
    <w:rsid w:val="27644968"/>
    <w:rsid w:val="27752950"/>
    <w:rsid w:val="278100F8"/>
    <w:rsid w:val="27835B31"/>
    <w:rsid w:val="278B23EE"/>
    <w:rsid w:val="278C4A28"/>
    <w:rsid w:val="279C7ABE"/>
    <w:rsid w:val="27B52D32"/>
    <w:rsid w:val="27B55CAE"/>
    <w:rsid w:val="27B828EC"/>
    <w:rsid w:val="27B9747D"/>
    <w:rsid w:val="27BD3A45"/>
    <w:rsid w:val="27BD43A5"/>
    <w:rsid w:val="27C07B7F"/>
    <w:rsid w:val="27C22234"/>
    <w:rsid w:val="27CE4E03"/>
    <w:rsid w:val="27D30046"/>
    <w:rsid w:val="27D4336A"/>
    <w:rsid w:val="27D44BC7"/>
    <w:rsid w:val="27DC53D7"/>
    <w:rsid w:val="27F60128"/>
    <w:rsid w:val="27FB3370"/>
    <w:rsid w:val="280C3082"/>
    <w:rsid w:val="280F761E"/>
    <w:rsid w:val="28100970"/>
    <w:rsid w:val="28130FC3"/>
    <w:rsid w:val="281D3390"/>
    <w:rsid w:val="281E451F"/>
    <w:rsid w:val="28242AFE"/>
    <w:rsid w:val="2824302E"/>
    <w:rsid w:val="28255646"/>
    <w:rsid w:val="282D4DA2"/>
    <w:rsid w:val="28352993"/>
    <w:rsid w:val="283A7C94"/>
    <w:rsid w:val="283F1E7D"/>
    <w:rsid w:val="283F6FC6"/>
    <w:rsid w:val="28410EB0"/>
    <w:rsid w:val="284576F3"/>
    <w:rsid w:val="284763CA"/>
    <w:rsid w:val="284929D4"/>
    <w:rsid w:val="284B4A54"/>
    <w:rsid w:val="284C1CF1"/>
    <w:rsid w:val="284F2393"/>
    <w:rsid w:val="285259C3"/>
    <w:rsid w:val="285E4750"/>
    <w:rsid w:val="285E68F8"/>
    <w:rsid w:val="28624B94"/>
    <w:rsid w:val="286E3006"/>
    <w:rsid w:val="286F0F65"/>
    <w:rsid w:val="287711AE"/>
    <w:rsid w:val="28810C2F"/>
    <w:rsid w:val="28821CD7"/>
    <w:rsid w:val="28832153"/>
    <w:rsid w:val="288C402F"/>
    <w:rsid w:val="2891552F"/>
    <w:rsid w:val="289F3CAC"/>
    <w:rsid w:val="28AF56E0"/>
    <w:rsid w:val="28BF2E88"/>
    <w:rsid w:val="28C400EC"/>
    <w:rsid w:val="28D30B77"/>
    <w:rsid w:val="28D321E2"/>
    <w:rsid w:val="28D36BF1"/>
    <w:rsid w:val="28E74484"/>
    <w:rsid w:val="28F05CD9"/>
    <w:rsid w:val="28F364BD"/>
    <w:rsid w:val="29034D8E"/>
    <w:rsid w:val="290A667A"/>
    <w:rsid w:val="290B0C0D"/>
    <w:rsid w:val="290B5FD7"/>
    <w:rsid w:val="290D640A"/>
    <w:rsid w:val="29162756"/>
    <w:rsid w:val="291A4C7E"/>
    <w:rsid w:val="291F0427"/>
    <w:rsid w:val="292555F9"/>
    <w:rsid w:val="29336FB4"/>
    <w:rsid w:val="293C79A7"/>
    <w:rsid w:val="293D2697"/>
    <w:rsid w:val="29454D6E"/>
    <w:rsid w:val="294F4DA4"/>
    <w:rsid w:val="295449EC"/>
    <w:rsid w:val="29554FB8"/>
    <w:rsid w:val="29572683"/>
    <w:rsid w:val="295D23DB"/>
    <w:rsid w:val="297172A8"/>
    <w:rsid w:val="29786483"/>
    <w:rsid w:val="2983564B"/>
    <w:rsid w:val="29853FA2"/>
    <w:rsid w:val="2986365A"/>
    <w:rsid w:val="298F2D60"/>
    <w:rsid w:val="299C2B37"/>
    <w:rsid w:val="29A03597"/>
    <w:rsid w:val="29A4703D"/>
    <w:rsid w:val="29A50264"/>
    <w:rsid w:val="29AF3FCC"/>
    <w:rsid w:val="29BE52CE"/>
    <w:rsid w:val="29CA7D6B"/>
    <w:rsid w:val="29CE6AED"/>
    <w:rsid w:val="29D35CB3"/>
    <w:rsid w:val="29DB2E13"/>
    <w:rsid w:val="29DB795F"/>
    <w:rsid w:val="29E677D4"/>
    <w:rsid w:val="29EC2923"/>
    <w:rsid w:val="29F43C64"/>
    <w:rsid w:val="29FA25C8"/>
    <w:rsid w:val="29FB4557"/>
    <w:rsid w:val="29FD19B7"/>
    <w:rsid w:val="29FD435A"/>
    <w:rsid w:val="2A0815C1"/>
    <w:rsid w:val="2A0D30D8"/>
    <w:rsid w:val="2A112438"/>
    <w:rsid w:val="2A1808B1"/>
    <w:rsid w:val="2A181440"/>
    <w:rsid w:val="2A1C72FC"/>
    <w:rsid w:val="2A1D0793"/>
    <w:rsid w:val="2A232024"/>
    <w:rsid w:val="2A23375B"/>
    <w:rsid w:val="2A26647F"/>
    <w:rsid w:val="2A29188B"/>
    <w:rsid w:val="2A34446A"/>
    <w:rsid w:val="2A3F4296"/>
    <w:rsid w:val="2A43220E"/>
    <w:rsid w:val="2A6021EF"/>
    <w:rsid w:val="2A7A5040"/>
    <w:rsid w:val="2A7E74F9"/>
    <w:rsid w:val="2A856183"/>
    <w:rsid w:val="2A89559E"/>
    <w:rsid w:val="2A94612D"/>
    <w:rsid w:val="2A9C5B40"/>
    <w:rsid w:val="2AA400F4"/>
    <w:rsid w:val="2AAC54BB"/>
    <w:rsid w:val="2AB11A39"/>
    <w:rsid w:val="2AB15325"/>
    <w:rsid w:val="2AB27589"/>
    <w:rsid w:val="2AB30A89"/>
    <w:rsid w:val="2AB57FF9"/>
    <w:rsid w:val="2AB90ADF"/>
    <w:rsid w:val="2ABA44A8"/>
    <w:rsid w:val="2ABA6371"/>
    <w:rsid w:val="2AC12D4D"/>
    <w:rsid w:val="2AC329D5"/>
    <w:rsid w:val="2AC87D23"/>
    <w:rsid w:val="2ACC151A"/>
    <w:rsid w:val="2ACC28DA"/>
    <w:rsid w:val="2ADD0E74"/>
    <w:rsid w:val="2AE11D66"/>
    <w:rsid w:val="2AE94B0E"/>
    <w:rsid w:val="2AEB102F"/>
    <w:rsid w:val="2AF14F00"/>
    <w:rsid w:val="2AF4565C"/>
    <w:rsid w:val="2AFA0056"/>
    <w:rsid w:val="2AFA470A"/>
    <w:rsid w:val="2B012590"/>
    <w:rsid w:val="2B0C20F7"/>
    <w:rsid w:val="2B0C4EE1"/>
    <w:rsid w:val="2B0F1D0A"/>
    <w:rsid w:val="2B0F5533"/>
    <w:rsid w:val="2B1B65B9"/>
    <w:rsid w:val="2B1F527C"/>
    <w:rsid w:val="2B22094C"/>
    <w:rsid w:val="2B224C5D"/>
    <w:rsid w:val="2B241B31"/>
    <w:rsid w:val="2B2706A2"/>
    <w:rsid w:val="2B28252F"/>
    <w:rsid w:val="2B450B78"/>
    <w:rsid w:val="2B461FAE"/>
    <w:rsid w:val="2B4665D5"/>
    <w:rsid w:val="2B4D31F0"/>
    <w:rsid w:val="2B4F71D5"/>
    <w:rsid w:val="2B527EE3"/>
    <w:rsid w:val="2B580D2F"/>
    <w:rsid w:val="2B595F47"/>
    <w:rsid w:val="2B5B08A7"/>
    <w:rsid w:val="2B5C1416"/>
    <w:rsid w:val="2B5E1A74"/>
    <w:rsid w:val="2B667187"/>
    <w:rsid w:val="2B7D4228"/>
    <w:rsid w:val="2B82321A"/>
    <w:rsid w:val="2B874473"/>
    <w:rsid w:val="2B8A6EA5"/>
    <w:rsid w:val="2B8B70C4"/>
    <w:rsid w:val="2B8F7512"/>
    <w:rsid w:val="2B9576E2"/>
    <w:rsid w:val="2B9A4D5A"/>
    <w:rsid w:val="2B9D3851"/>
    <w:rsid w:val="2BA41CAA"/>
    <w:rsid w:val="2BB700E0"/>
    <w:rsid w:val="2BBD4491"/>
    <w:rsid w:val="2BBE79E4"/>
    <w:rsid w:val="2BC2082C"/>
    <w:rsid w:val="2BCF1F15"/>
    <w:rsid w:val="2BD25B6F"/>
    <w:rsid w:val="2BDB3ED0"/>
    <w:rsid w:val="2BEB0DD4"/>
    <w:rsid w:val="2BEC51D8"/>
    <w:rsid w:val="2BEE6C0E"/>
    <w:rsid w:val="2BEF1A87"/>
    <w:rsid w:val="2BF75607"/>
    <w:rsid w:val="2BFC6FD4"/>
    <w:rsid w:val="2C0368C6"/>
    <w:rsid w:val="2C05500E"/>
    <w:rsid w:val="2C0F7712"/>
    <w:rsid w:val="2C1134D0"/>
    <w:rsid w:val="2C246940"/>
    <w:rsid w:val="2C290D81"/>
    <w:rsid w:val="2C2E78B5"/>
    <w:rsid w:val="2C3551A2"/>
    <w:rsid w:val="2C3C1EC1"/>
    <w:rsid w:val="2C42462B"/>
    <w:rsid w:val="2C437300"/>
    <w:rsid w:val="2C4F6D41"/>
    <w:rsid w:val="2C5B41CA"/>
    <w:rsid w:val="2C5D0B16"/>
    <w:rsid w:val="2C6A377A"/>
    <w:rsid w:val="2C75368A"/>
    <w:rsid w:val="2C7D17AB"/>
    <w:rsid w:val="2C841B39"/>
    <w:rsid w:val="2C8A1EDE"/>
    <w:rsid w:val="2C8A6306"/>
    <w:rsid w:val="2C9116B8"/>
    <w:rsid w:val="2C995C25"/>
    <w:rsid w:val="2CA01851"/>
    <w:rsid w:val="2CA122DA"/>
    <w:rsid w:val="2CA423D8"/>
    <w:rsid w:val="2CA96082"/>
    <w:rsid w:val="2CAA01BE"/>
    <w:rsid w:val="2CAE345F"/>
    <w:rsid w:val="2CB50CBF"/>
    <w:rsid w:val="2CB85977"/>
    <w:rsid w:val="2CBB5644"/>
    <w:rsid w:val="2CBD0690"/>
    <w:rsid w:val="2CBE40F4"/>
    <w:rsid w:val="2CC44205"/>
    <w:rsid w:val="2CC55793"/>
    <w:rsid w:val="2CCE189E"/>
    <w:rsid w:val="2CCF5DDE"/>
    <w:rsid w:val="2CDA3B55"/>
    <w:rsid w:val="2CDB0944"/>
    <w:rsid w:val="2CDC54D1"/>
    <w:rsid w:val="2CDD3EC5"/>
    <w:rsid w:val="2CE27267"/>
    <w:rsid w:val="2CE74D39"/>
    <w:rsid w:val="2CE8150A"/>
    <w:rsid w:val="2CF04B2B"/>
    <w:rsid w:val="2CF06CC2"/>
    <w:rsid w:val="2CF4573F"/>
    <w:rsid w:val="2D016444"/>
    <w:rsid w:val="2D0B00A7"/>
    <w:rsid w:val="2D0B16C5"/>
    <w:rsid w:val="2D0D1E1A"/>
    <w:rsid w:val="2D0D6A6B"/>
    <w:rsid w:val="2D12077C"/>
    <w:rsid w:val="2D1715C6"/>
    <w:rsid w:val="2D1943ED"/>
    <w:rsid w:val="2D1D3D27"/>
    <w:rsid w:val="2D270FD0"/>
    <w:rsid w:val="2D277EFB"/>
    <w:rsid w:val="2D31047C"/>
    <w:rsid w:val="2D3136D3"/>
    <w:rsid w:val="2D3178DC"/>
    <w:rsid w:val="2D324DB9"/>
    <w:rsid w:val="2D334CAC"/>
    <w:rsid w:val="2D426862"/>
    <w:rsid w:val="2D4370D2"/>
    <w:rsid w:val="2D450D5F"/>
    <w:rsid w:val="2D4E3F0C"/>
    <w:rsid w:val="2D5B4B27"/>
    <w:rsid w:val="2D5D08DD"/>
    <w:rsid w:val="2D636224"/>
    <w:rsid w:val="2D646B9E"/>
    <w:rsid w:val="2D6B244F"/>
    <w:rsid w:val="2D6B5D7F"/>
    <w:rsid w:val="2D700E9E"/>
    <w:rsid w:val="2D8B4452"/>
    <w:rsid w:val="2D8D53A8"/>
    <w:rsid w:val="2D976683"/>
    <w:rsid w:val="2DAB621D"/>
    <w:rsid w:val="2DB27C81"/>
    <w:rsid w:val="2DBC5013"/>
    <w:rsid w:val="2DCD0958"/>
    <w:rsid w:val="2DD27CA8"/>
    <w:rsid w:val="2DDA0237"/>
    <w:rsid w:val="2DE35338"/>
    <w:rsid w:val="2DE97FFE"/>
    <w:rsid w:val="2DEB4A08"/>
    <w:rsid w:val="2E0019A3"/>
    <w:rsid w:val="2E0A7A05"/>
    <w:rsid w:val="2E194F3D"/>
    <w:rsid w:val="2E287B61"/>
    <w:rsid w:val="2E3D028C"/>
    <w:rsid w:val="2E3E0198"/>
    <w:rsid w:val="2E3F0BEE"/>
    <w:rsid w:val="2E4652C5"/>
    <w:rsid w:val="2E4A28CA"/>
    <w:rsid w:val="2E4D5A50"/>
    <w:rsid w:val="2E560939"/>
    <w:rsid w:val="2E5A7CD6"/>
    <w:rsid w:val="2E5E648E"/>
    <w:rsid w:val="2E790DE1"/>
    <w:rsid w:val="2E7973ED"/>
    <w:rsid w:val="2E7B3153"/>
    <w:rsid w:val="2E7C78DB"/>
    <w:rsid w:val="2E877342"/>
    <w:rsid w:val="2E9123DB"/>
    <w:rsid w:val="2E9136EE"/>
    <w:rsid w:val="2E957101"/>
    <w:rsid w:val="2EAA1BD0"/>
    <w:rsid w:val="2EB37D85"/>
    <w:rsid w:val="2EBB5220"/>
    <w:rsid w:val="2EBC5351"/>
    <w:rsid w:val="2EC46383"/>
    <w:rsid w:val="2EC56BE5"/>
    <w:rsid w:val="2EC77991"/>
    <w:rsid w:val="2ECF2A91"/>
    <w:rsid w:val="2ED917DE"/>
    <w:rsid w:val="2EDF31F8"/>
    <w:rsid w:val="2EEB7843"/>
    <w:rsid w:val="2EF00893"/>
    <w:rsid w:val="2EF3442E"/>
    <w:rsid w:val="2EF65105"/>
    <w:rsid w:val="2EFB4F05"/>
    <w:rsid w:val="2EFF3E52"/>
    <w:rsid w:val="2F0465CC"/>
    <w:rsid w:val="2F072879"/>
    <w:rsid w:val="2F08433B"/>
    <w:rsid w:val="2F0907FB"/>
    <w:rsid w:val="2F0B5278"/>
    <w:rsid w:val="2F136646"/>
    <w:rsid w:val="2F174E3B"/>
    <w:rsid w:val="2F2269A3"/>
    <w:rsid w:val="2F2828F2"/>
    <w:rsid w:val="2F363704"/>
    <w:rsid w:val="2F3D037D"/>
    <w:rsid w:val="2F4C6D53"/>
    <w:rsid w:val="2F585AF3"/>
    <w:rsid w:val="2F596049"/>
    <w:rsid w:val="2F61762B"/>
    <w:rsid w:val="2F843A53"/>
    <w:rsid w:val="2F9429CB"/>
    <w:rsid w:val="2F962068"/>
    <w:rsid w:val="2F9B5A25"/>
    <w:rsid w:val="2F9E5E02"/>
    <w:rsid w:val="2FA409F4"/>
    <w:rsid w:val="2FA92ACB"/>
    <w:rsid w:val="2FBC4FC2"/>
    <w:rsid w:val="2FC12E0D"/>
    <w:rsid w:val="2FC61E19"/>
    <w:rsid w:val="2FD3657A"/>
    <w:rsid w:val="2FD54996"/>
    <w:rsid w:val="2FD97BCD"/>
    <w:rsid w:val="2FDD2E8E"/>
    <w:rsid w:val="2FDE3125"/>
    <w:rsid w:val="2FE87D4B"/>
    <w:rsid w:val="2FE97517"/>
    <w:rsid w:val="2FED2320"/>
    <w:rsid w:val="2FF3094F"/>
    <w:rsid w:val="2FFD0C0E"/>
    <w:rsid w:val="30002D07"/>
    <w:rsid w:val="300711A8"/>
    <w:rsid w:val="300C3B90"/>
    <w:rsid w:val="300D20E3"/>
    <w:rsid w:val="300D36B9"/>
    <w:rsid w:val="300F0B89"/>
    <w:rsid w:val="301168CE"/>
    <w:rsid w:val="30154E19"/>
    <w:rsid w:val="30171924"/>
    <w:rsid w:val="30173190"/>
    <w:rsid w:val="301B2328"/>
    <w:rsid w:val="30225849"/>
    <w:rsid w:val="302C277F"/>
    <w:rsid w:val="303221E0"/>
    <w:rsid w:val="30322E5C"/>
    <w:rsid w:val="3039340C"/>
    <w:rsid w:val="30396D27"/>
    <w:rsid w:val="3044003E"/>
    <w:rsid w:val="30453B9D"/>
    <w:rsid w:val="30505F70"/>
    <w:rsid w:val="305703F6"/>
    <w:rsid w:val="305A4534"/>
    <w:rsid w:val="306212C1"/>
    <w:rsid w:val="30645CFC"/>
    <w:rsid w:val="30665E9F"/>
    <w:rsid w:val="306A6432"/>
    <w:rsid w:val="306C7EFE"/>
    <w:rsid w:val="30794DF1"/>
    <w:rsid w:val="308321E0"/>
    <w:rsid w:val="30A57B99"/>
    <w:rsid w:val="30B20E4E"/>
    <w:rsid w:val="30B97331"/>
    <w:rsid w:val="30BA4AA5"/>
    <w:rsid w:val="30BA548C"/>
    <w:rsid w:val="30BA6D63"/>
    <w:rsid w:val="30C23A3B"/>
    <w:rsid w:val="30CA3F94"/>
    <w:rsid w:val="30CD5539"/>
    <w:rsid w:val="30EF0ED6"/>
    <w:rsid w:val="30F13FAA"/>
    <w:rsid w:val="30F5319F"/>
    <w:rsid w:val="30F60F82"/>
    <w:rsid w:val="3104150C"/>
    <w:rsid w:val="31060D94"/>
    <w:rsid w:val="310662F5"/>
    <w:rsid w:val="310A511C"/>
    <w:rsid w:val="310C35ED"/>
    <w:rsid w:val="310D031B"/>
    <w:rsid w:val="31186793"/>
    <w:rsid w:val="311D1232"/>
    <w:rsid w:val="311D5693"/>
    <w:rsid w:val="31210AA0"/>
    <w:rsid w:val="312B4918"/>
    <w:rsid w:val="31311CFE"/>
    <w:rsid w:val="313171F6"/>
    <w:rsid w:val="31337DEB"/>
    <w:rsid w:val="313B3958"/>
    <w:rsid w:val="3144316E"/>
    <w:rsid w:val="314874EB"/>
    <w:rsid w:val="31496258"/>
    <w:rsid w:val="314B0B14"/>
    <w:rsid w:val="31594B69"/>
    <w:rsid w:val="315B0515"/>
    <w:rsid w:val="31607AF5"/>
    <w:rsid w:val="31643BE3"/>
    <w:rsid w:val="316B6CEE"/>
    <w:rsid w:val="318022DD"/>
    <w:rsid w:val="31871366"/>
    <w:rsid w:val="3188024D"/>
    <w:rsid w:val="31881438"/>
    <w:rsid w:val="318C3787"/>
    <w:rsid w:val="3191218A"/>
    <w:rsid w:val="31913A69"/>
    <w:rsid w:val="31922F44"/>
    <w:rsid w:val="319B3CAA"/>
    <w:rsid w:val="31A628A5"/>
    <w:rsid w:val="31B22A5A"/>
    <w:rsid w:val="31B36D87"/>
    <w:rsid w:val="31BF0A20"/>
    <w:rsid w:val="31D774B8"/>
    <w:rsid w:val="31D85559"/>
    <w:rsid w:val="31DA7CEA"/>
    <w:rsid w:val="31DB1CD9"/>
    <w:rsid w:val="31ED3136"/>
    <w:rsid w:val="31EF7302"/>
    <w:rsid w:val="31F438FC"/>
    <w:rsid w:val="31FD406A"/>
    <w:rsid w:val="31FE2FC8"/>
    <w:rsid w:val="32066C5B"/>
    <w:rsid w:val="32097DF1"/>
    <w:rsid w:val="321330EB"/>
    <w:rsid w:val="32166511"/>
    <w:rsid w:val="321D2039"/>
    <w:rsid w:val="32222323"/>
    <w:rsid w:val="3224393E"/>
    <w:rsid w:val="32246E4C"/>
    <w:rsid w:val="323709AC"/>
    <w:rsid w:val="323E4C46"/>
    <w:rsid w:val="32416ECE"/>
    <w:rsid w:val="324276A3"/>
    <w:rsid w:val="32440A8B"/>
    <w:rsid w:val="324639D0"/>
    <w:rsid w:val="325558B4"/>
    <w:rsid w:val="325719E8"/>
    <w:rsid w:val="326170B4"/>
    <w:rsid w:val="32642218"/>
    <w:rsid w:val="326429D0"/>
    <w:rsid w:val="3264531C"/>
    <w:rsid w:val="32665466"/>
    <w:rsid w:val="326820F3"/>
    <w:rsid w:val="32692A31"/>
    <w:rsid w:val="326B38EB"/>
    <w:rsid w:val="327C3B58"/>
    <w:rsid w:val="32885317"/>
    <w:rsid w:val="32892A4B"/>
    <w:rsid w:val="32980D20"/>
    <w:rsid w:val="32A2433E"/>
    <w:rsid w:val="32A91748"/>
    <w:rsid w:val="32AD2087"/>
    <w:rsid w:val="32B01DCF"/>
    <w:rsid w:val="32B53ABB"/>
    <w:rsid w:val="32B736BD"/>
    <w:rsid w:val="32B865A2"/>
    <w:rsid w:val="32C40CE5"/>
    <w:rsid w:val="32C62D0D"/>
    <w:rsid w:val="32E5329D"/>
    <w:rsid w:val="32EF6F5B"/>
    <w:rsid w:val="32F90C87"/>
    <w:rsid w:val="32F976CA"/>
    <w:rsid w:val="32FC1D3D"/>
    <w:rsid w:val="32FE6CC1"/>
    <w:rsid w:val="32FF3C80"/>
    <w:rsid w:val="330C791D"/>
    <w:rsid w:val="330D2A67"/>
    <w:rsid w:val="330E2AC2"/>
    <w:rsid w:val="330E2F53"/>
    <w:rsid w:val="330E4A42"/>
    <w:rsid w:val="331518CB"/>
    <w:rsid w:val="33186345"/>
    <w:rsid w:val="331B428B"/>
    <w:rsid w:val="331F2416"/>
    <w:rsid w:val="332705B3"/>
    <w:rsid w:val="33291ECF"/>
    <w:rsid w:val="332F2325"/>
    <w:rsid w:val="332F78E4"/>
    <w:rsid w:val="33302505"/>
    <w:rsid w:val="33435FD9"/>
    <w:rsid w:val="3345063A"/>
    <w:rsid w:val="334D2CFC"/>
    <w:rsid w:val="335121B9"/>
    <w:rsid w:val="335D450D"/>
    <w:rsid w:val="336C307D"/>
    <w:rsid w:val="337070BE"/>
    <w:rsid w:val="33780162"/>
    <w:rsid w:val="337829B0"/>
    <w:rsid w:val="337A0742"/>
    <w:rsid w:val="337B77A8"/>
    <w:rsid w:val="337C0BAD"/>
    <w:rsid w:val="3382532E"/>
    <w:rsid w:val="33835519"/>
    <w:rsid w:val="33907D95"/>
    <w:rsid w:val="33912A7A"/>
    <w:rsid w:val="33923816"/>
    <w:rsid w:val="33960E31"/>
    <w:rsid w:val="339766EC"/>
    <w:rsid w:val="339B00AC"/>
    <w:rsid w:val="33A13F7B"/>
    <w:rsid w:val="33A60EDE"/>
    <w:rsid w:val="33A8589B"/>
    <w:rsid w:val="33B95F01"/>
    <w:rsid w:val="33BD0F57"/>
    <w:rsid w:val="33C07D0A"/>
    <w:rsid w:val="33CB0B80"/>
    <w:rsid w:val="33E170B6"/>
    <w:rsid w:val="33E93BB1"/>
    <w:rsid w:val="33F75282"/>
    <w:rsid w:val="33FB6405"/>
    <w:rsid w:val="3402383D"/>
    <w:rsid w:val="340549D0"/>
    <w:rsid w:val="340A53E6"/>
    <w:rsid w:val="340F05AC"/>
    <w:rsid w:val="34110143"/>
    <w:rsid w:val="341931A8"/>
    <w:rsid w:val="341942F8"/>
    <w:rsid w:val="34265666"/>
    <w:rsid w:val="342D57DA"/>
    <w:rsid w:val="342F4A90"/>
    <w:rsid w:val="344026A9"/>
    <w:rsid w:val="3448506B"/>
    <w:rsid w:val="34505149"/>
    <w:rsid w:val="34517714"/>
    <w:rsid w:val="345A50D5"/>
    <w:rsid w:val="345B795C"/>
    <w:rsid w:val="3468005A"/>
    <w:rsid w:val="346E1392"/>
    <w:rsid w:val="346F2A79"/>
    <w:rsid w:val="3471648D"/>
    <w:rsid w:val="347362F2"/>
    <w:rsid w:val="34772FC6"/>
    <w:rsid w:val="347F5B57"/>
    <w:rsid w:val="34891274"/>
    <w:rsid w:val="348A1DB8"/>
    <w:rsid w:val="348D78C7"/>
    <w:rsid w:val="348E7E8F"/>
    <w:rsid w:val="348F0128"/>
    <w:rsid w:val="34934B68"/>
    <w:rsid w:val="34980D1E"/>
    <w:rsid w:val="349C67C9"/>
    <w:rsid w:val="34A03C19"/>
    <w:rsid w:val="34A13EE1"/>
    <w:rsid w:val="34A22A5F"/>
    <w:rsid w:val="34A628F1"/>
    <w:rsid w:val="34A838C3"/>
    <w:rsid w:val="34B033E7"/>
    <w:rsid w:val="34BD350C"/>
    <w:rsid w:val="34BF19E9"/>
    <w:rsid w:val="34BF74EA"/>
    <w:rsid w:val="34C33AD8"/>
    <w:rsid w:val="34CA71B6"/>
    <w:rsid w:val="34CE4260"/>
    <w:rsid w:val="34CF122C"/>
    <w:rsid w:val="34D766B0"/>
    <w:rsid w:val="34DB2B4D"/>
    <w:rsid w:val="34E16316"/>
    <w:rsid w:val="34E467C1"/>
    <w:rsid w:val="34E7342C"/>
    <w:rsid w:val="34E75F12"/>
    <w:rsid w:val="34F32500"/>
    <w:rsid w:val="34F432BA"/>
    <w:rsid w:val="350A5CF4"/>
    <w:rsid w:val="35195020"/>
    <w:rsid w:val="351F2F82"/>
    <w:rsid w:val="35246742"/>
    <w:rsid w:val="35270120"/>
    <w:rsid w:val="35275089"/>
    <w:rsid w:val="352D62A3"/>
    <w:rsid w:val="352E7C67"/>
    <w:rsid w:val="3535293E"/>
    <w:rsid w:val="3536502B"/>
    <w:rsid w:val="353665BD"/>
    <w:rsid w:val="353E58AC"/>
    <w:rsid w:val="354112CF"/>
    <w:rsid w:val="354B2DE4"/>
    <w:rsid w:val="354F4ECD"/>
    <w:rsid w:val="35543E8E"/>
    <w:rsid w:val="35555A63"/>
    <w:rsid w:val="355A6497"/>
    <w:rsid w:val="355B65B2"/>
    <w:rsid w:val="355D4F81"/>
    <w:rsid w:val="355E50CF"/>
    <w:rsid w:val="356F2C96"/>
    <w:rsid w:val="35705AE4"/>
    <w:rsid w:val="357E004F"/>
    <w:rsid w:val="35824905"/>
    <w:rsid w:val="35843F72"/>
    <w:rsid w:val="35864933"/>
    <w:rsid w:val="35881566"/>
    <w:rsid w:val="358D2D1D"/>
    <w:rsid w:val="35922D88"/>
    <w:rsid w:val="35970273"/>
    <w:rsid w:val="35A930DB"/>
    <w:rsid w:val="35B23542"/>
    <w:rsid w:val="35BD2A9C"/>
    <w:rsid w:val="35C213AC"/>
    <w:rsid w:val="35C74E47"/>
    <w:rsid w:val="35C95861"/>
    <w:rsid w:val="35D8240C"/>
    <w:rsid w:val="35D86E88"/>
    <w:rsid w:val="35D945B0"/>
    <w:rsid w:val="35DB7B88"/>
    <w:rsid w:val="35E24DF5"/>
    <w:rsid w:val="35FB6F9A"/>
    <w:rsid w:val="35FC0320"/>
    <w:rsid w:val="35FC78A0"/>
    <w:rsid w:val="35FD2590"/>
    <w:rsid w:val="35FF463C"/>
    <w:rsid w:val="360D4DD7"/>
    <w:rsid w:val="360F2DBF"/>
    <w:rsid w:val="361124A4"/>
    <w:rsid w:val="36132896"/>
    <w:rsid w:val="36251E52"/>
    <w:rsid w:val="36303FB9"/>
    <w:rsid w:val="363407F7"/>
    <w:rsid w:val="363842BA"/>
    <w:rsid w:val="3638445C"/>
    <w:rsid w:val="363B5B34"/>
    <w:rsid w:val="364D39D1"/>
    <w:rsid w:val="364F6F22"/>
    <w:rsid w:val="365612E8"/>
    <w:rsid w:val="3658395C"/>
    <w:rsid w:val="36593DEE"/>
    <w:rsid w:val="366513C8"/>
    <w:rsid w:val="36692C29"/>
    <w:rsid w:val="3678741B"/>
    <w:rsid w:val="367B598F"/>
    <w:rsid w:val="36835443"/>
    <w:rsid w:val="3686608C"/>
    <w:rsid w:val="368D3FB1"/>
    <w:rsid w:val="36931AD1"/>
    <w:rsid w:val="369760BA"/>
    <w:rsid w:val="369769C2"/>
    <w:rsid w:val="36A00055"/>
    <w:rsid w:val="36AD62EF"/>
    <w:rsid w:val="36B814E3"/>
    <w:rsid w:val="36BB2D6A"/>
    <w:rsid w:val="36C40518"/>
    <w:rsid w:val="36CA1F25"/>
    <w:rsid w:val="36D00424"/>
    <w:rsid w:val="36D20CF6"/>
    <w:rsid w:val="36DD2BAC"/>
    <w:rsid w:val="36DE0951"/>
    <w:rsid w:val="36E21D02"/>
    <w:rsid w:val="36E67553"/>
    <w:rsid w:val="36F20F6E"/>
    <w:rsid w:val="36F210B1"/>
    <w:rsid w:val="36F7353D"/>
    <w:rsid w:val="37007AC7"/>
    <w:rsid w:val="3702370D"/>
    <w:rsid w:val="37057E3C"/>
    <w:rsid w:val="37074341"/>
    <w:rsid w:val="37147CD9"/>
    <w:rsid w:val="371922ED"/>
    <w:rsid w:val="371A7708"/>
    <w:rsid w:val="371D469E"/>
    <w:rsid w:val="371F6EDC"/>
    <w:rsid w:val="372A09FA"/>
    <w:rsid w:val="37330115"/>
    <w:rsid w:val="373529C0"/>
    <w:rsid w:val="37397682"/>
    <w:rsid w:val="373C7B02"/>
    <w:rsid w:val="37487E21"/>
    <w:rsid w:val="37525ACD"/>
    <w:rsid w:val="37527418"/>
    <w:rsid w:val="375A55D3"/>
    <w:rsid w:val="375A58F4"/>
    <w:rsid w:val="375E5B2F"/>
    <w:rsid w:val="375F2D0C"/>
    <w:rsid w:val="376B4FBE"/>
    <w:rsid w:val="37734B4D"/>
    <w:rsid w:val="377D7730"/>
    <w:rsid w:val="37807A1C"/>
    <w:rsid w:val="37820CB3"/>
    <w:rsid w:val="3783476E"/>
    <w:rsid w:val="37885E60"/>
    <w:rsid w:val="378A0827"/>
    <w:rsid w:val="378B78F4"/>
    <w:rsid w:val="378E3BE4"/>
    <w:rsid w:val="3792490D"/>
    <w:rsid w:val="379837CA"/>
    <w:rsid w:val="37994C24"/>
    <w:rsid w:val="37A4695E"/>
    <w:rsid w:val="37A56331"/>
    <w:rsid w:val="37A91E09"/>
    <w:rsid w:val="37AA79A3"/>
    <w:rsid w:val="37AE30E0"/>
    <w:rsid w:val="37B253AC"/>
    <w:rsid w:val="37B31795"/>
    <w:rsid w:val="37B73B33"/>
    <w:rsid w:val="37B874AF"/>
    <w:rsid w:val="37C360D7"/>
    <w:rsid w:val="37C87091"/>
    <w:rsid w:val="37D42B5B"/>
    <w:rsid w:val="37DD65A4"/>
    <w:rsid w:val="37DE28E6"/>
    <w:rsid w:val="37E8004A"/>
    <w:rsid w:val="37F048A0"/>
    <w:rsid w:val="37F27E10"/>
    <w:rsid w:val="37F637BC"/>
    <w:rsid w:val="3800555A"/>
    <w:rsid w:val="3809306D"/>
    <w:rsid w:val="381D1FCA"/>
    <w:rsid w:val="3826753F"/>
    <w:rsid w:val="3827518E"/>
    <w:rsid w:val="382800C6"/>
    <w:rsid w:val="382837A8"/>
    <w:rsid w:val="382932C1"/>
    <w:rsid w:val="382A51FA"/>
    <w:rsid w:val="382D2A96"/>
    <w:rsid w:val="382F4B08"/>
    <w:rsid w:val="38312A30"/>
    <w:rsid w:val="383210E4"/>
    <w:rsid w:val="383A36AD"/>
    <w:rsid w:val="38685430"/>
    <w:rsid w:val="386F52F6"/>
    <w:rsid w:val="387A0F64"/>
    <w:rsid w:val="387F4B65"/>
    <w:rsid w:val="38894205"/>
    <w:rsid w:val="388C418E"/>
    <w:rsid w:val="389159D8"/>
    <w:rsid w:val="389C7387"/>
    <w:rsid w:val="389F5A0E"/>
    <w:rsid w:val="38A00A0E"/>
    <w:rsid w:val="38A23923"/>
    <w:rsid w:val="38B10FD3"/>
    <w:rsid w:val="38B83890"/>
    <w:rsid w:val="38BC5EB1"/>
    <w:rsid w:val="38D342E9"/>
    <w:rsid w:val="38DC6990"/>
    <w:rsid w:val="38DC7DB9"/>
    <w:rsid w:val="38DD5656"/>
    <w:rsid w:val="38E05C36"/>
    <w:rsid w:val="38E12A24"/>
    <w:rsid w:val="38E7522B"/>
    <w:rsid w:val="38ED1063"/>
    <w:rsid w:val="38F172EC"/>
    <w:rsid w:val="38F26B3A"/>
    <w:rsid w:val="38F407F9"/>
    <w:rsid w:val="38F95DF6"/>
    <w:rsid w:val="38FF6148"/>
    <w:rsid w:val="3903466D"/>
    <w:rsid w:val="390D588D"/>
    <w:rsid w:val="390E17BC"/>
    <w:rsid w:val="39132FFD"/>
    <w:rsid w:val="391877C9"/>
    <w:rsid w:val="391F5244"/>
    <w:rsid w:val="39225CE4"/>
    <w:rsid w:val="392635CF"/>
    <w:rsid w:val="392876F4"/>
    <w:rsid w:val="39293088"/>
    <w:rsid w:val="392A377B"/>
    <w:rsid w:val="393120C7"/>
    <w:rsid w:val="3933284B"/>
    <w:rsid w:val="39352D1A"/>
    <w:rsid w:val="393E362D"/>
    <w:rsid w:val="394738B9"/>
    <w:rsid w:val="394F5526"/>
    <w:rsid w:val="395068D0"/>
    <w:rsid w:val="39510E15"/>
    <w:rsid w:val="39581DB9"/>
    <w:rsid w:val="395961F5"/>
    <w:rsid w:val="395E6FAD"/>
    <w:rsid w:val="396252C6"/>
    <w:rsid w:val="396D0C84"/>
    <w:rsid w:val="397F27D6"/>
    <w:rsid w:val="39865ABE"/>
    <w:rsid w:val="398D1029"/>
    <w:rsid w:val="39902EFF"/>
    <w:rsid w:val="39903EB2"/>
    <w:rsid w:val="39980102"/>
    <w:rsid w:val="399E01FF"/>
    <w:rsid w:val="399E2214"/>
    <w:rsid w:val="39AE1A04"/>
    <w:rsid w:val="39B7679D"/>
    <w:rsid w:val="39C550B5"/>
    <w:rsid w:val="39D471ED"/>
    <w:rsid w:val="39D96824"/>
    <w:rsid w:val="39DB48F9"/>
    <w:rsid w:val="39DC14C7"/>
    <w:rsid w:val="39DC32CF"/>
    <w:rsid w:val="39DC5B33"/>
    <w:rsid w:val="39E042AE"/>
    <w:rsid w:val="39EC4138"/>
    <w:rsid w:val="39EE2FFA"/>
    <w:rsid w:val="39EF3377"/>
    <w:rsid w:val="39F47720"/>
    <w:rsid w:val="39F63CA8"/>
    <w:rsid w:val="39FE20B1"/>
    <w:rsid w:val="3A05253F"/>
    <w:rsid w:val="3A072065"/>
    <w:rsid w:val="3A0C76D7"/>
    <w:rsid w:val="3A125A31"/>
    <w:rsid w:val="3A1474BB"/>
    <w:rsid w:val="3A15557B"/>
    <w:rsid w:val="3A1B67C7"/>
    <w:rsid w:val="3A1E479F"/>
    <w:rsid w:val="3A204AEC"/>
    <w:rsid w:val="3A2200E6"/>
    <w:rsid w:val="3A2C4438"/>
    <w:rsid w:val="3A2D4580"/>
    <w:rsid w:val="3A2E064C"/>
    <w:rsid w:val="3A2F2D33"/>
    <w:rsid w:val="3A3B5D23"/>
    <w:rsid w:val="3A3E0D77"/>
    <w:rsid w:val="3A4E34CE"/>
    <w:rsid w:val="3A50253D"/>
    <w:rsid w:val="3A504D64"/>
    <w:rsid w:val="3A545C15"/>
    <w:rsid w:val="3A5610C1"/>
    <w:rsid w:val="3A592F70"/>
    <w:rsid w:val="3A5E1139"/>
    <w:rsid w:val="3A613E7B"/>
    <w:rsid w:val="3A616E99"/>
    <w:rsid w:val="3A6234A0"/>
    <w:rsid w:val="3A627DF4"/>
    <w:rsid w:val="3A6415F3"/>
    <w:rsid w:val="3A65699F"/>
    <w:rsid w:val="3A661519"/>
    <w:rsid w:val="3A791CD8"/>
    <w:rsid w:val="3A8760CD"/>
    <w:rsid w:val="3A90460D"/>
    <w:rsid w:val="3A9611FB"/>
    <w:rsid w:val="3AA5191A"/>
    <w:rsid w:val="3AB06356"/>
    <w:rsid w:val="3AB42592"/>
    <w:rsid w:val="3AB56820"/>
    <w:rsid w:val="3AB93AAC"/>
    <w:rsid w:val="3AC03556"/>
    <w:rsid w:val="3AC20A9E"/>
    <w:rsid w:val="3ACA5143"/>
    <w:rsid w:val="3ACC7E1E"/>
    <w:rsid w:val="3ACD4BD8"/>
    <w:rsid w:val="3ADC43DB"/>
    <w:rsid w:val="3ADD6095"/>
    <w:rsid w:val="3ADF7E76"/>
    <w:rsid w:val="3AEB018A"/>
    <w:rsid w:val="3AF44D39"/>
    <w:rsid w:val="3AF62FB6"/>
    <w:rsid w:val="3B047A2C"/>
    <w:rsid w:val="3B072AE7"/>
    <w:rsid w:val="3B0C568B"/>
    <w:rsid w:val="3B101F22"/>
    <w:rsid w:val="3B124C1B"/>
    <w:rsid w:val="3B144FE3"/>
    <w:rsid w:val="3B171700"/>
    <w:rsid w:val="3B187F0C"/>
    <w:rsid w:val="3B19498D"/>
    <w:rsid w:val="3B2A3136"/>
    <w:rsid w:val="3B2B31E1"/>
    <w:rsid w:val="3B424AF9"/>
    <w:rsid w:val="3B43293D"/>
    <w:rsid w:val="3B4331D2"/>
    <w:rsid w:val="3B505ECD"/>
    <w:rsid w:val="3B5871BB"/>
    <w:rsid w:val="3B5F7EA1"/>
    <w:rsid w:val="3B622EBC"/>
    <w:rsid w:val="3B683572"/>
    <w:rsid w:val="3B697A40"/>
    <w:rsid w:val="3B72035F"/>
    <w:rsid w:val="3B727185"/>
    <w:rsid w:val="3B733F3E"/>
    <w:rsid w:val="3B7B6258"/>
    <w:rsid w:val="3B7C16F1"/>
    <w:rsid w:val="3B7D36E1"/>
    <w:rsid w:val="3B8274C7"/>
    <w:rsid w:val="3B8A52AF"/>
    <w:rsid w:val="3B8A6A1F"/>
    <w:rsid w:val="3B9B6F13"/>
    <w:rsid w:val="3B9E014B"/>
    <w:rsid w:val="3B9E7E55"/>
    <w:rsid w:val="3BA35D0A"/>
    <w:rsid w:val="3BC05AA5"/>
    <w:rsid w:val="3BC52A79"/>
    <w:rsid w:val="3BCD3E2E"/>
    <w:rsid w:val="3BD818AF"/>
    <w:rsid w:val="3BDA5C2F"/>
    <w:rsid w:val="3BE5760A"/>
    <w:rsid w:val="3BF00524"/>
    <w:rsid w:val="3BF472F5"/>
    <w:rsid w:val="3BF736C7"/>
    <w:rsid w:val="3BF75B30"/>
    <w:rsid w:val="3BFE6A45"/>
    <w:rsid w:val="3C00354B"/>
    <w:rsid w:val="3C0470CC"/>
    <w:rsid w:val="3C0D4D6C"/>
    <w:rsid w:val="3C0D7EBC"/>
    <w:rsid w:val="3C162390"/>
    <w:rsid w:val="3C230AF8"/>
    <w:rsid w:val="3C240786"/>
    <w:rsid w:val="3C2B084A"/>
    <w:rsid w:val="3C35789E"/>
    <w:rsid w:val="3C3A17EA"/>
    <w:rsid w:val="3C3B3A13"/>
    <w:rsid w:val="3C3E6D60"/>
    <w:rsid w:val="3C420750"/>
    <w:rsid w:val="3C4707DB"/>
    <w:rsid w:val="3C4D4524"/>
    <w:rsid w:val="3C5639DE"/>
    <w:rsid w:val="3C567958"/>
    <w:rsid w:val="3C571C05"/>
    <w:rsid w:val="3C643067"/>
    <w:rsid w:val="3C64352B"/>
    <w:rsid w:val="3C670F6D"/>
    <w:rsid w:val="3C672E2C"/>
    <w:rsid w:val="3C685249"/>
    <w:rsid w:val="3C6C29B4"/>
    <w:rsid w:val="3C70569E"/>
    <w:rsid w:val="3C764FC0"/>
    <w:rsid w:val="3C7A5C98"/>
    <w:rsid w:val="3C7C3EE4"/>
    <w:rsid w:val="3C8D58BE"/>
    <w:rsid w:val="3C8E5FED"/>
    <w:rsid w:val="3C9E20B1"/>
    <w:rsid w:val="3CB11375"/>
    <w:rsid w:val="3CB53A65"/>
    <w:rsid w:val="3CC102AC"/>
    <w:rsid w:val="3CC2128F"/>
    <w:rsid w:val="3CC54280"/>
    <w:rsid w:val="3CD45BE5"/>
    <w:rsid w:val="3CE360F2"/>
    <w:rsid w:val="3CEB69FC"/>
    <w:rsid w:val="3CEE5C15"/>
    <w:rsid w:val="3CEF661B"/>
    <w:rsid w:val="3CF019F0"/>
    <w:rsid w:val="3CF5496B"/>
    <w:rsid w:val="3D030BD1"/>
    <w:rsid w:val="3D05055C"/>
    <w:rsid w:val="3D051809"/>
    <w:rsid w:val="3D0B5330"/>
    <w:rsid w:val="3D115586"/>
    <w:rsid w:val="3D197739"/>
    <w:rsid w:val="3D200913"/>
    <w:rsid w:val="3D234DD6"/>
    <w:rsid w:val="3D260F83"/>
    <w:rsid w:val="3D2B2775"/>
    <w:rsid w:val="3D2C21BB"/>
    <w:rsid w:val="3D2D7CF4"/>
    <w:rsid w:val="3D3D68D8"/>
    <w:rsid w:val="3D43250F"/>
    <w:rsid w:val="3D4A132B"/>
    <w:rsid w:val="3D4F61EC"/>
    <w:rsid w:val="3D500385"/>
    <w:rsid w:val="3D5A44CB"/>
    <w:rsid w:val="3D6025AF"/>
    <w:rsid w:val="3D6130D8"/>
    <w:rsid w:val="3D647CD4"/>
    <w:rsid w:val="3D770399"/>
    <w:rsid w:val="3D7B49B3"/>
    <w:rsid w:val="3D84454D"/>
    <w:rsid w:val="3D8A1C1E"/>
    <w:rsid w:val="3D8C37AE"/>
    <w:rsid w:val="3D8D259B"/>
    <w:rsid w:val="3D8D2E74"/>
    <w:rsid w:val="3D8E23C7"/>
    <w:rsid w:val="3D940183"/>
    <w:rsid w:val="3D94569F"/>
    <w:rsid w:val="3DA0290D"/>
    <w:rsid w:val="3DB328C2"/>
    <w:rsid w:val="3DBC47EF"/>
    <w:rsid w:val="3DC625AE"/>
    <w:rsid w:val="3DC96C0F"/>
    <w:rsid w:val="3DCC12F0"/>
    <w:rsid w:val="3DCF3BE2"/>
    <w:rsid w:val="3DE41CDC"/>
    <w:rsid w:val="3DE85142"/>
    <w:rsid w:val="3DEB52FD"/>
    <w:rsid w:val="3DFC06E4"/>
    <w:rsid w:val="3E016AE6"/>
    <w:rsid w:val="3E070C1F"/>
    <w:rsid w:val="3E070ED4"/>
    <w:rsid w:val="3E073B00"/>
    <w:rsid w:val="3E091CCD"/>
    <w:rsid w:val="3E0A177A"/>
    <w:rsid w:val="3E163241"/>
    <w:rsid w:val="3E187D1F"/>
    <w:rsid w:val="3E1A3A28"/>
    <w:rsid w:val="3E1C3525"/>
    <w:rsid w:val="3E200B4B"/>
    <w:rsid w:val="3E225DB0"/>
    <w:rsid w:val="3E296488"/>
    <w:rsid w:val="3E2C4B6C"/>
    <w:rsid w:val="3E2E7210"/>
    <w:rsid w:val="3E343644"/>
    <w:rsid w:val="3E3D069E"/>
    <w:rsid w:val="3E41516C"/>
    <w:rsid w:val="3E483582"/>
    <w:rsid w:val="3E5337D0"/>
    <w:rsid w:val="3E537DE4"/>
    <w:rsid w:val="3E554154"/>
    <w:rsid w:val="3E5702CC"/>
    <w:rsid w:val="3E5C7B8C"/>
    <w:rsid w:val="3E5F165E"/>
    <w:rsid w:val="3E6A28BE"/>
    <w:rsid w:val="3E904009"/>
    <w:rsid w:val="3E9365FA"/>
    <w:rsid w:val="3E996659"/>
    <w:rsid w:val="3E9E1FC0"/>
    <w:rsid w:val="3EA300A7"/>
    <w:rsid w:val="3EA83741"/>
    <w:rsid w:val="3EAB5E05"/>
    <w:rsid w:val="3EAC111D"/>
    <w:rsid w:val="3EB0358F"/>
    <w:rsid w:val="3EB5605B"/>
    <w:rsid w:val="3EBA5D59"/>
    <w:rsid w:val="3EC3043C"/>
    <w:rsid w:val="3EC51154"/>
    <w:rsid w:val="3EC741B1"/>
    <w:rsid w:val="3EC8679C"/>
    <w:rsid w:val="3ECD790D"/>
    <w:rsid w:val="3ECD7A72"/>
    <w:rsid w:val="3ED84198"/>
    <w:rsid w:val="3EDB15AB"/>
    <w:rsid w:val="3EE5288B"/>
    <w:rsid w:val="3EE6303A"/>
    <w:rsid w:val="3EEB494F"/>
    <w:rsid w:val="3EEB540F"/>
    <w:rsid w:val="3EEC29DE"/>
    <w:rsid w:val="3EF5427F"/>
    <w:rsid w:val="3EFB3143"/>
    <w:rsid w:val="3F027DD0"/>
    <w:rsid w:val="3F030C21"/>
    <w:rsid w:val="3F15140E"/>
    <w:rsid w:val="3F1F6B0C"/>
    <w:rsid w:val="3F232D0D"/>
    <w:rsid w:val="3F296ED1"/>
    <w:rsid w:val="3F2E1337"/>
    <w:rsid w:val="3F2E2497"/>
    <w:rsid w:val="3F3303B1"/>
    <w:rsid w:val="3F42384C"/>
    <w:rsid w:val="3F4A339D"/>
    <w:rsid w:val="3F4B7B29"/>
    <w:rsid w:val="3F523766"/>
    <w:rsid w:val="3F5366FC"/>
    <w:rsid w:val="3F594519"/>
    <w:rsid w:val="3F6249A7"/>
    <w:rsid w:val="3F66563F"/>
    <w:rsid w:val="3F6E7773"/>
    <w:rsid w:val="3F84112B"/>
    <w:rsid w:val="3F9005F5"/>
    <w:rsid w:val="3F920484"/>
    <w:rsid w:val="3F9407E7"/>
    <w:rsid w:val="3F9D2F58"/>
    <w:rsid w:val="3F9F1936"/>
    <w:rsid w:val="3FA341B1"/>
    <w:rsid w:val="3FAA6BE5"/>
    <w:rsid w:val="3FB56B0A"/>
    <w:rsid w:val="3FBF2FE8"/>
    <w:rsid w:val="3FC0568B"/>
    <w:rsid w:val="3FD5287D"/>
    <w:rsid w:val="3FD651D9"/>
    <w:rsid w:val="3FDE02D2"/>
    <w:rsid w:val="3FE53B71"/>
    <w:rsid w:val="3FF56105"/>
    <w:rsid w:val="4002562A"/>
    <w:rsid w:val="40047F76"/>
    <w:rsid w:val="400D69C0"/>
    <w:rsid w:val="401B6D82"/>
    <w:rsid w:val="401D74D9"/>
    <w:rsid w:val="401E1F88"/>
    <w:rsid w:val="40266EE6"/>
    <w:rsid w:val="402A20BC"/>
    <w:rsid w:val="402D166A"/>
    <w:rsid w:val="40337620"/>
    <w:rsid w:val="40417C97"/>
    <w:rsid w:val="40457E6C"/>
    <w:rsid w:val="40532C8A"/>
    <w:rsid w:val="405B0955"/>
    <w:rsid w:val="40653402"/>
    <w:rsid w:val="40654256"/>
    <w:rsid w:val="406D3801"/>
    <w:rsid w:val="406E2D1C"/>
    <w:rsid w:val="4072647C"/>
    <w:rsid w:val="407740C4"/>
    <w:rsid w:val="4077788C"/>
    <w:rsid w:val="407A1956"/>
    <w:rsid w:val="407C3AE5"/>
    <w:rsid w:val="407D1453"/>
    <w:rsid w:val="407F1C79"/>
    <w:rsid w:val="40964ECD"/>
    <w:rsid w:val="409B660A"/>
    <w:rsid w:val="40A96AA7"/>
    <w:rsid w:val="40B04F11"/>
    <w:rsid w:val="40C27447"/>
    <w:rsid w:val="40D25362"/>
    <w:rsid w:val="40D641E4"/>
    <w:rsid w:val="40DB2F7B"/>
    <w:rsid w:val="40DD7A15"/>
    <w:rsid w:val="40EC5BC0"/>
    <w:rsid w:val="40F32FE2"/>
    <w:rsid w:val="40FD27A7"/>
    <w:rsid w:val="41080CDA"/>
    <w:rsid w:val="410F3EF6"/>
    <w:rsid w:val="411266A1"/>
    <w:rsid w:val="411C1598"/>
    <w:rsid w:val="41332550"/>
    <w:rsid w:val="413362A7"/>
    <w:rsid w:val="413A18F1"/>
    <w:rsid w:val="41423470"/>
    <w:rsid w:val="414311A9"/>
    <w:rsid w:val="41431890"/>
    <w:rsid w:val="41522971"/>
    <w:rsid w:val="415E7F1E"/>
    <w:rsid w:val="4163168B"/>
    <w:rsid w:val="41645CF3"/>
    <w:rsid w:val="41684FED"/>
    <w:rsid w:val="41705CAC"/>
    <w:rsid w:val="417428C6"/>
    <w:rsid w:val="417852FE"/>
    <w:rsid w:val="41792489"/>
    <w:rsid w:val="417C5F10"/>
    <w:rsid w:val="418718DD"/>
    <w:rsid w:val="418E176C"/>
    <w:rsid w:val="41906206"/>
    <w:rsid w:val="419272EB"/>
    <w:rsid w:val="41975AE6"/>
    <w:rsid w:val="419A0534"/>
    <w:rsid w:val="419B25C4"/>
    <w:rsid w:val="419E170C"/>
    <w:rsid w:val="41A7672E"/>
    <w:rsid w:val="41AB30BD"/>
    <w:rsid w:val="41B1186A"/>
    <w:rsid w:val="41B1460C"/>
    <w:rsid w:val="41B229B0"/>
    <w:rsid w:val="41B97EBF"/>
    <w:rsid w:val="41C16449"/>
    <w:rsid w:val="41C9447D"/>
    <w:rsid w:val="41CC25BC"/>
    <w:rsid w:val="41CE5E0A"/>
    <w:rsid w:val="41D66680"/>
    <w:rsid w:val="41DA5C61"/>
    <w:rsid w:val="41DF3315"/>
    <w:rsid w:val="41E928C7"/>
    <w:rsid w:val="41ED261A"/>
    <w:rsid w:val="42022EC8"/>
    <w:rsid w:val="4205489F"/>
    <w:rsid w:val="420C1B06"/>
    <w:rsid w:val="420D63A5"/>
    <w:rsid w:val="42101E16"/>
    <w:rsid w:val="421337A1"/>
    <w:rsid w:val="42167D3F"/>
    <w:rsid w:val="42286EE1"/>
    <w:rsid w:val="422C1E62"/>
    <w:rsid w:val="42314F10"/>
    <w:rsid w:val="42321CC7"/>
    <w:rsid w:val="42363BC7"/>
    <w:rsid w:val="4238215D"/>
    <w:rsid w:val="42387696"/>
    <w:rsid w:val="42396559"/>
    <w:rsid w:val="42445990"/>
    <w:rsid w:val="424C57D2"/>
    <w:rsid w:val="42506F5E"/>
    <w:rsid w:val="425F263B"/>
    <w:rsid w:val="42683F51"/>
    <w:rsid w:val="426874E9"/>
    <w:rsid w:val="426E0E54"/>
    <w:rsid w:val="42746CC9"/>
    <w:rsid w:val="42782D0E"/>
    <w:rsid w:val="42793B69"/>
    <w:rsid w:val="42812BEB"/>
    <w:rsid w:val="428B2A05"/>
    <w:rsid w:val="42917131"/>
    <w:rsid w:val="429372FA"/>
    <w:rsid w:val="429D6A07"/>
    <w:rsid w:val="42A0605B"/>
    <w:rsid w:val="42A3261E"/>
    <w:rsid w:val="42AF287A"/>
    <w:rsid w:val="42B62EC6"/>
    <w:rsid w:val="42BA667D"/>
    <w:rsid w:val="42BE31F4"/>
    <w:rsid w:val="42C50595"/>
    <w:rsid w:val="42C66FA3"/>
    <w:rsid w:val="42C94130"/>
    <w:rsid w:val="42D43679"/>
    <w:rsid w:val="42E13330"/>
    <w:rsid w:val="42E23496"/>
    <w:rsid w:val="42E87A95"/>
    <w:rsid w:val="42EA568A"/>
    <w:rsid w:val="42F905B7"/>
    <w:rsid w:val="43011432"/>
    <w:rsid w:val="430557C4"/>
    <w:rsid w:val="430934B1"/>
    <w:rsid w:val="431567DE"/>
    <w:rsid w:val="431B24E0"/>
    <w:rsid w:val="431F46B8"/>
    <w:rsid w:val="432018AD"/>
    <w:rsid w:val="43205D1A"/>
    <w:rsid w:val="432129E2"/>
    <w:rsid w:val="43227225"/>
    <w:rsid w:val="432620F2"/>
    <w:rsid w:val="432B2309"/>
    <w:rsid w:val="433038FF"/>
    <w:rsid w:val="43370EAC"/>
    <w:rsid w:val="43374AE2"/>
    <w:rsid w:val="43440924"/>
    <w:rsid w:val="43441DEB"/>
    <w:rsid w:val="4345375F"/>
    <w:rsid w:val="43453872"/>
    <w:rsid w:val="434719A3"/>
    <w:rsid w:val="434B6E74"/>
    <w:rsid w:val="434D1638"/>
    <w:rsid w:val="4357300A"/>
    <w:rsid w:val="4358150D"/>
    <w:rsid w:val="435D361A"/>
    <w:rsid w:val="43601C4F"/>
    <w:rsid w:val="43654953"/>
    <w:rsid w:val="43675239"/>
    <w:rsid w:val="436B28B9"/>
    <w:rsid w:val="436E7405"/>
    <w:rsid w:val="437300B3"/>
    <w:rsid w:val="4373507D"/>
    <w:rsid w:val="43740DC6"/>
    <w:rsid w:val="438028DB"/>
    <w:rsid w:val="43807538"/>
    <w:rsid w:val="43933756"/>
    <w:rsid w:val="439B5E66"/>
    <w:rsid w:val="439C453E"/>
    <w:rsid w:val="43AD1F2B"/>
    <w:rsid w:val="43AD6B2B"/>
    <w:rsid w:val="43B0246E"/>
    <w:rsid w:val="43B615DF"/>
    <w:rsid w:val="43BD0C79"/>
    <w:rsid w:val="43BE37EE"/>
    <w:rsid w:val="43BE4455"/>
    <w:rsid w:val="43BE6232"/>
    <w:rsid w:val="43C97B48"/>
    <w:rsid w:val="43D349E2"/>
    <w:rsid w:val="43D713D0"/>
    <w:rsid w:val="43D951C6"/>
    <w:rsid w:val="43D95633"/>
    <w:rsid w:val="43D962B5"/>
    <w:rsid w:val="43DA1716"/>
    <w:rsid w:val="43F5242E"/>
    <w:rsid w:val="43F83014"/>
    <w:rsid w:val="43F971B6"/>
    <w:rsid w:val="43FD514C"/>
    <w:rsid w:val="44011F00"/>
    <w:rsid w:val="4418441E"/>
    <w:rsid w:val="441C152A"/>
    <w:rsid w:val="441C3D45"/>
    <w:rsid w:val="442E7956"/>
    <w:rsid w:val="44385C50"/>
    <w:rsid w:val="44405AD1"/>
    <w:rsid w:val="44415838"/>
    <w:rsid w:val="444454E3"/>
    <w:rsid w:val="4449591C"/>
    <w:rsid w:val="446A038F"/>
    <w:rsid w:val="446F1124"/>
    <w:rsid w:val="447C700B"/>
    <w:rsid w:val="447F27A2"/>
    <w:rsid w:val="449141DD"/>
    <w:rsid w:val="44980201"/>
    <w:rsid w:val="44982F38"/>
    <w:rsid w:val="44A76CF6"/>
    <w:rsid w:val="44AB30CC"/>
    <w:rsid w:val="44AD1FCC"/>
    <w:rsid w:val="44B63A6E"/>
    <w:rsid w:val="44BB49EB"/>
    <w:rsid w:val="44BD0353"/>
    <w:rsid w:val="44BD380C"/>
    <w:rsid w:val="44C5081E"/>
    <w:rsid w:val="44CD31E2"/>
    <w:rsid w:val="44D576CF"/>
    <w:rsid w:val="44D64B1E"/>
    <w:rsid w:val="44DA58D3"/>
    <w:rsid w:val="44DB3624"/>
    <w:rsid w:val="44DD62F3"/>
    <w:rsid w:val="44DF60D4"/>
    <w:rsid w:val="44E04549"/>
    <w:rsid w:val="44E05C53"/>
    <w:rsid w:val="44E873FC"/>
    <w:rsid w:val="44E87F74"/>
    <w:rsid w:val="44EE0F9A"/>
    <w:rsid w:val="44F15080"/>
    <w:rsid w:val="44F32FB8"/>
    <w:rsid w:val="44F67BAD"/>
    <w:rsid w:val="45020204"/>
    <w:rsid w:val="45050401"/>
    <w:rsid w:val="450C1A3E"/>
    <w:rsid w:val="453453B2"/>
    <w:rsid w:val="453A3D5A"/>
    <w:rsid w:val="453B3AD4"/>
    <w:rsid w:val="45463765"/>
    <w:rsid w:val="454B22CD"/>
    <w:rsid w:val="45590D23"/>
    <w:rsid w:val="455E543A"/>
    <w:rsid w:val="456526DC"/>
    <w:rsid w:val="456B6252"/>
    <w:rsid w:val="456E2E11"/>
    <w:rsid w:val="457173CC"/>
    <w:rsid w:val="457A6CE2"/>
    <w:rsid w:val="458147CB"/>
    <w:rsid w:val="45827D03"/>
    <w:rsid w:val="458A3812"/>
    <w:rsid w:val="45911842"/>
    <w:rsid w:val="45912560"/>
    <w:rsid w:val="45AE1DBC"/>
    <w:rsid w:val="45BA3A4B"/>
    <w:rsid w:val="45BC7A04"/>
    <w:rsid w:val="45C12494"/>
    <w:rsid w:val="45C168FC"/>
    <w:rsid w:val="45C16CCF"/>
    <w:rsid w:val="45C21B7D"/>
    <w:rsid w:val="45D10EC5"/>
    <w:rsid w:val="45D83116"/>
    <w:rsid w:val="45E16DA8"/>
    <w:rsid w:val="45E31CCC"/>
    <w:rsid w:val="45E42AD7"/>
    <w:rsid w:val="45E87552"/>
    <w:rsid w:val="45E96D9E"/>
    <w:rsid w:val="45F349F5"/>
    <w:rsid w:val="45F439F4"/>
    <w:rsid w:val="45FE5C33"/>
    <w:rsid w:val="45FE6567"/>
    <w:rsid w:val="46177320"/>
    <w:rsid w:val="461A12B0"/>
    <w:rsid w:val="461F3BC1"/>
    <w:rsid w:val="46226875"/>
    <w:rsid w:val="46317741"/>
    <w:rsid w:val="463458E1"/>
    <w:rsid w:val="46471244"/>
    <w:rsid w:val="46494EB5"/>
    <w:rsid w:val="464B7691"/>
    <w:rsid w:val="464C452A"/>
    <w:rsid w:val="464E05EB"/>
    <w:rsid w:val="464E7AA9"/>
    <w:rsid w:val="46506864"/>
    <w:rsid w:val="46510993"/>
    <w:rsid w:val="46556A04"/>
    <w:rsid w:val="4660270E"/>
    <w:rsid w:val="46603842"/>
    <w:rsid w:val="466A0F7A"/>
    <w:rsid w:val="46704B08"/>
    <w:rsid w:val="4673057A"/>
    <w:rsid w:val="46755639"/>
    <w:rsid w:val="46787996"/>
    <w:rsid w:val="467A3682"/>
    <w:rsid w:val="4684633F"/>
    <w:rsid w:val="468938CC"/>
    <w:rsid w:val="468A7785"/>
    <w:rsid w:val="469B4DC3"/>
    <w:rsid w:val="46A35984"/>
    <w:rsid w:val="46A76774"/>
    <w:rsid w:val="46A80D82"/>
    <w:rsid w:val="46AC3599"/>
    <w:rsid w:val="46AC4B9C"/>
    <w:rsid w:val="46AD46D2"/>
    <w:rsid w:val="46AD49D6"/>
    <w:rsid w:val="46B15869"/>
    <w:rsid w:val="46B20228"/>
    <w:rsid w:val="46B26810"/>
    <w:rsid w:val="46BB7BAE"/>
    <w:rsid w:val="46BF304B"/>
    <w:rsid w:val="46CB3B16"/>
    <w:rsid w:val="46CB5780"/>
    <w:rsid w:val="46CC072E"/>
    <w:rsid w:val="46D22F1F"/>
    <w:rsid w:val="46DC08D4"/>
    <w:rsid w:val="46DF4B35"/>
    <w:rsid w:val="46E94533"/>
    <w:rsid w:val="46E950E6"/>
    <w:rsid w:val="46E97115"/>
    <w:rsid w:val="46EA62AD"/>
    <w:rsid w:val="46EE3AB7"/>
    <w:rsid w:val="46EF5CFC"/>
    <w:rsid w:val="46F575B9"/>
    <w:rsid w:val="46F831D6"/>
    <w:rsid w:val="46F913A1"/>
    <w:rsid w:val="46FF6008"/>
    <w:rsid w:val="470457E6"/>
    <w:rsid w:val="47166A87"/>
    <w:rsid w:val="47185071"/>
    <w:rsid w:val="47191AEF"/>
    <w:rsid w:val="4723715F"/>
    <w:rsid w:val="472530E4"/>
    <w:rsid w:val="472E5EFB"/>
    <w:rsid w:val="47307DD7"/>
    <w:rsid w:val="473817A2"/>
    <w:rsid w:val="473C1065"/>
    <w:rsid w:val="473C1E11"/>
    <w:rsid w:val="473F409F"/>
    <w:rsid w:val="47411EB9"/>
    <w:rsid w:val="4741268A"/>
    <w:rsid w:val="4749263F"/>
    <w:rsid w:val="47496A9E"/>
    <w:rsid w:val="474C23A8"/>
    <w:rsid w:val="474F412F"/>
    <w:rsid w:val="475029D2"/>
    <w:rsid w:val="475603F6"/>
    <w:rsid w:val="47624D01"/>
    <w:rsid w:val="47643220"/>
    <w:rsid w:val="47646FB7"/>
    <w:rsid w:val="476D58D9"/>
    <w:rsid w:val="47722A18"/>
    <w:rsid w:val="47736929"/>
    <w:rsid w:val="47741D0C"/>
    <w:rsid w:val="47763265"/>
    <w:rsid w:val="47876B9F"/>
    <w:rsid w:val="479236A7"/>
    <w:rsid w:val="47953EA1"/>
    <w:rsid w:val="47970F9B"/>
    <w:rsid w:val="47A21288"/>
    <w:rsid w:val="47A213C0"/>
    <w:rsid w:val="47AD7200"/>
    <w:rsid w:val="47B76453"/>
    <w:rsid w:val="47BE040B"/>
    <w:rsid w:val="47BE7324"/>
    <w:rsid w:val="47C2640D"/>
    <w:rsid w:val="47C4437E"/>
    <w:rsid w:val="47CA3EBD"/>
    <w:rsid w:val="47D90007"/>
    <w:rsid w:val="47DC4284"/>
    <w:rsid w:val="47DF7B1C"/>
    <w:rsid w:val="47E016E9"/>
    <w:rsid w:val="47E8372E"/>
    <w:rsid w:val="47EA57CB"/>
    <w:rsid w:val="47EE2BEA"/>
    <w:rsid w:val="47F21EF0"/>
    <w:rsid w:val="47F5197C"/>
    <w:rsid w:val="47F95DB7"/>
    <w:rsid w:val="48005B89"/>
    <w:rsid w:val="480316AA"/>
    <w:rsid w:val="480C54F8"/>
    <w:rsid w:val="48114D52"/>
    <w:rsid w:val="4819703C"/>
    <w:rsid w:val="481B63AE"/>
    <w:rsid w:val="481D120F"/>
    <w:rsid w:val="482105C0"/>
    <w:rsid w:val="48211E7E"/>
    <w:rsid w:val="48312B7C"/>
    <w:rsid w:val="4832333B"/>
    <w:rsid w:val="48342F88"/>
    <w:rsid w:val="483510C7"/>
    <w:rsid w:val="48372F25"/>
    <w:rsid w:val="483B1A37"/>
    <w:rsid w:val="483E3E03"/>
    <w:rsid w:val="4849312C"/>
    <w:rsid w:val="484C2E46"/>
    <w:rsid w:val="4858290B"/>
    <w:rsid w:val="48591FC4"/>
    <w:rsid w:val="485B4A3F"/>
    <w:rsid w:val="485C39F4"/>
    <w:rsid w:val="485D4F9C"/>
    <w:rsid w:val="4862142D"/>
    <w:rsid w:val="48626E30"/>
    <w:rsid w:val="48636ED0"/>
    <w:rsid w:val="48680479"/>
    <w:rsid w:val="486F668F"/>
    <w:rsid w:val="487835F2"/>
    <w:rsid w:val="4884688A"/>
    <w:rsid w:val="489268EE"/>
    <w:rsid w:val="48952A5D"/>
    <w:rsid w:val="489701E4"/>
    <w:rsid w:val="489C5552"/>
    <w:rsid w:val="48A309E1"/>
    <w:rsid w:val="48AA0CFE"/>
    <w:rsid w:val="48AB0568"/>
    <w:rsid w:val="48B23A8E"/>
    <w:rsid w:val="48BC5FDF"/>
    <w:rsid w:val="48BE0D41"/>
    <w:rsid w:val="48C170BE"/>
    <w:rsid w:val="48C34E0C"/>
    <w:rsid w:val="48C7293C"/>
    <w:rsid w:val="48CA042B"/>
    <w:rsid w:val="48CC11B1"/>
    <w:rsid w:val="48CD0CC0"/>
    <w:rsid w:val="48D04359"/>
    <w:rsid w:val="48D34BAB"/>
    <w:rsid w:val="48D949EA"/>
    <w:rsid w:val="48DA0793"/>
    <w:rsid w:val="48E44A4C"/>
    <w:rsid w:val="48EE2112"/>
    <w:rsid w:val="48F73D54"/>
    <w:rsid w:val="48F96CCE"/>
    <w:rsid w:val="48FC187E"/>
    <w:rsid w:val="49021898"/>
    <w:rsid w:val="490265B3"/>
    <w:rsid w:val="49050A4B"/>
    <w:rsid w:val="4905290C"/>
    <w:rsid w:val="4906054D"/>
    <w:rsid w:val="49063785"/>
    <w:rsid w:val="49073A9A"/>
    <w:rsid w:val="49094559"/>
    <w:rsid w:val="491C548A"/>
    <w:rsid w:val="491D1B81"/>
    <w:rsid w:val="492A49F9"/>
    <w:rsid w:val="492F531F"/>
    <w:rsid w:val="492F6636"/>
    <w:rsid w:val="492F7E36"/>
    <w:rsid w:val="493F2ADC"/>
    <w:rsid w:val="49405D5E"/>
    <w:rsid w:val="494A4B2B"/>
    <w:rsid w:val="494B0205"/>
    <w:rsid w:val="49555364"/>
    <w:rsid w:val="49561E92"/>
    <w:rsid w:val="496123F8"/>
    <w:rsid w:val="496724C8"/>
    <w:rsid w:val="496A1DB8"/>
    <w:rsid w:val="496A3584"/>
    <w:rsid w:val="496B1EB3"/>
    <w:rsid w:val="4971045B"/>
    <w:rsid w:val="4979031F"/>
    <w:rsid w:val="497976FA"/>
    <w:rsid w:val="497C5DB9"/>
    <w:rsid w:val="49833A3E"/>
    <w:rsid w:val="49896678"/>
    <w:rsid w:val="498B1F45"/>
    <w:rsid w:val="4991146B"/>
    <w:rsid w:val="499C59AF"/>
    <w:rsid w:val="49A91C92"/>
    <w:rsid w:val="49AE68B8"/>
    <w:rsid w:val="49B035DC"/>
    <w:rsid w:val="49C60139"/>
    <w:rsid w:val="49C63B01"/>
    <w:rsid w:val="49C97BB8"/>
    <w:rsid w:val="49CC051E"/>
    <w:rsid w:val="49D82FE4"/>
    <w:rsid w:val="49D85DE8"/>
    <w:rsid w:val="49E11689"/>
    <w:rsid w:val="49E16CA2"/>
    <w:rsid w:val="49E6704C"/>
    <w:rsid w:val="49EE6A1F"/>
    <w:rsid w:val="49EF23AD"/>
    <w:rsid w:val="49F14CC3"/>
    <w:rsid w:val="49F42B19"/>
    <w:rsid w:val="49F5309D"/>
    <w:rsid w:val="49F54083"/>
    <w:rsid w:val="49FD6413"/>
    <w:rsid w:val="4A104C1F"/>
    <w:rsid w:val="4A182A73"/>
    <w:rsid w:val="4A194C10"/>
    <w:rsid w:val="4A2308DE"/>
    <w:rsid w:val="4A2D4EAF"/>
    <w:rsid w:val="4A3D4FF8"/>
    <w:rsid w:val="4A3D6D5C"/>
    <w:rsid w:val="4A3E1126"/>
    <w:rsid w:val="4A3F629B"/>
    <w:rsid w:val="4A410956"/>
    <w:rsid w:val="4A416D23"/>
    <w:rsid w:val="4A4316BE"/>
    <w:rsid w:val="4A434208"/>
    <w:rsid w:val="4A4E5706"/>
    <w:rsid w:val="4A546A31"/>
    <w:rsid w:val="4A595A4F"/>
    <w:rsid w:val="4A5E6408"/>
    <w:rsid w:val="4A691BA3"/>
    <w:rsid w:val="4A746F7F"/>
    <w:rsid w:val="4A75264F"/>
    <w:rsid w:val="4A764225"/>
    <w:rsid w:val="4A8622B6"/>
    <w:rsid w:val="4A8B4465"/>
    <w:rsid w:val="4AA13962"/>
    <w:rsid w:val="4ABA55C9"/>
    <w:rsid w:val="4ABB1998"/>
    <w:rsid w:val="4ABF25A4"/>
    <w:rsid w:val="4AC162B6"/>
    <w:rsid w:val="4AC23D56"/>
    <w:rsid w:val="4AC524FD"/>
    <w:rsid w:val="4AD11ADF"/>
    <w:rsid w:val="4AD17AB5"/>
    <w:rsid w:val="4AD17B27"/>
    <w:rsid w:val="4AD21A83"/>
    <w:rsid w:val="4AD5740B"/>
    <w:rsid w:val="4AD76629"/>
    <w:rsid w:val="4AD92BE1"/>
    <w:rsid w:val="4ADB40EF"/>
    <w:rsid w:val="4ADD4949"/>
    <w:rsid w:val="4AE86A3E"/>
    <w:rsid w:val="4AF1673C"/>
    <w:rsid w:val="4AF43B8F"/>
    <w:rsid w:val="4AF7270C"/>
    <w:rsid w:val="4AFF0FC4"/>
    <w:rsid w:val="4B0405D2"/>
    <w:rsid w:val="4B0B275D"/>
    <w:rsid w:val="4B0C10BD"/>
    <w:rsid w:val="4B1B6412"/>
    <w:rsid w:val="4B1C777E"/>
    <w:rsid w:val="4B2E6916"/>
    <w:rsid w:val="4B33627A"/>
    <w:rsid w:val="4B356505"/>
    <w:rsid w:val="4B36766D"/>
    <w:rsid w:val="4B3A331C"/>
    <w:rsid w:val="4B3C1D9B"/>
    <w:rsid w:val="4B3D32A5"/>
    <w:rsid w:val="4B460124"/>
    <w:rsid w:val="4B4B5D19"/>
    <w:rsid w:val="4B4B7070"/>
    <w:rsid w:val="4B4D4169"/>
    <w:rsid w:val="4B503E7D"/>
    <w:rsid w:val="4B5526A6"/>
    <w:rsid w:val="4B63004E"/>
    <w:rsid w:val="4B6A739A"/>
    <w:rsid w:val="4B6B2FC4"/>
    <w:rsid w:val="4B791D52"/>
    <w:rsid w:val="4B7D6867"/>
    <w:rsid w:val="4B7F7ECA"/>
    <w:rsid w:val="4B816AF3"/>
    <w:rsid w:val="4B84080B"/>
    <w:rsid w:val="4B872B2C"/>
    <w:rsid w:val="4B884B1B"/>
    <w:rsid w:val="4B8D7E12"/>
    <w:rsid w:val="4B944DA5"/>
    <w:rsid w:val="4B9610E4"/>
    <w:rsid w:val="4BA12F2D"/>
    <w:rsid w:val="4BAB3CE8"/>
    <w:rsid w:val="4BB56B3F"/>
    <w:rsid w:val="4BB651E9"/>
    <w:rsid w:val="4BBA5C6F"/>
    <w:rsid w:val="4BC3761F"/>
    <w:rsid w:val="4BCA0934"/>
    <w:rsid w:val="4BD65DD5"/>
    <w:rsid w:val="4BE7790A"/>
    <w:rsid w:val="4BEE2702"/>
    <w:rsid w:val="4BF1539E"/>
    <w:rsid w:val="4BF4138C"/>
    <w:rsid w:val="4BF46757"/>
    <w:rsid w:val="4BF57863"/>
    <w:rsid w:val="4BF912A5"/>
    <w:rsid w:val="4C0D69A5"/>
    <w:rsid w:val="4C114E73"/>
    <w:rsid w:val="4C276414"/>
    <w:rsid w:val="4C30348B"/>
    <w:rsid w:val="4C434245"/>
    <w:rsid w:val="4C457E06"/>
    <w:rsid w:val="4C486022"/>
    <w:rsid w:val="4C554718"/>
    <w:rsid w:val="4C5653EF"/>
    <w:rsid w:val="4C6E0B31"/>
    <w:rsid w:val="4C6E490F"/>
    <w:rsid w:val="4C757CAE"/>
    <w:rsid w:val="4C7A3E0A"/>
    <w:rsid w:val="4C7B54FA"/>
    <w:rsid w:val="4C8059DE"/>
    <w:rsid w:val="4C805A12"/>
    <w:rsid w:val="4C8B3BFF"/>
    <w:rsid w:val="4C8F0964"/>
    <w:rsid w:val="4C992C68"/>
    <w:rsid w:val="4C9A24A5"/>
    <w:rsid w:val="4CA825F2"/>
    <w:rsid w:val="4CB4751A"/>
    <w:rsid w:val="4CBA7E8A"/>
    <w:rsid w:val="4CCB2F3F"/>
    <w:rsid w:val="4CCF6BAA"/>
    <w:rsid w:val="4CD715B6"/>
    <w:rsid w:val="4CE34671"/>
    <w:rsid w:val="4CE67FDA"/>
    <w:rsid w:val="4CF17BE5"/>
    <w:rsid w:val="4CF71359"/>
    <w:rsid w:val="4CF950CA"/>
    <w:rsid w:val="4CFE58B7"/>
    <w:rsid w:val="4CFF0951"/>
    <w:rsid w:val="4D037E8A"/>
    <w:rsid w:val="4D0C44EB"/>
    <w:rsid w:val="4D0D2B05"/>
    <w:rsid w:val="4D0D5045"/>
    <w:rsid w:val="4D0F375C"/>
    <w:rsid w:val="4D1F4530"/>
    <w:rsid w:val="4D216009"/>
    <w:rsid w:val="4D241DA1"/>
    <w:rsid w:val="4D390C14"/>
    <w:rsid w:val="4D44030C"/>
    <w:rsid w:val="4D451F4B"/>
    <w:rsid w:val="4D525702"/>
    <w:rsid w:val="4D5D58E4"/>
    <w:rsid w:val="4D5E544F"/>
    <w:rsid w:val="4D694853"/>
    <w:rsid w:val="4D696E81"/>
    <w:rsid w:val="4D6E3730"/>
    <w:rsid w:val="4D701E95"/>
    <w:rsid w:val="4D7D0B22"/>
    <w:rsid w:val="4D814FF5"/>
    <w:rsid w:val="4D8A49E8"/>
    <w:rsid w:val="4D906E3A"/>
    <w:rsid w:val="4D964BDE"/>
    <w:rsid w:val="4DA22F6F"/>
    <w:rsid w:val="4DA366F2"/>
    <w:rsid w:val="4DAF3BE5"/>
    <w:rsid w:val="4DAF65D9"/>
    <w:rsid w:val="4DB30D09"/>
    <w:rsid w:val="4DBD2AAA"/>
    <w:rsid w:val="4DC43E1F"/>
    <w:rsid w:val="4DCA651D"/>
    <w:rsid w:val="4DD15495"/>
    <w:rsid w:val="4DD17443"/>
    <w:rsid w:val="4DD455C4"/>
    <w:rsid w:val="4DE05675"/>
    <w:rsid w:val="4DE22715"/>
    <w:rsid w:val="4DE23B68"/>
    <w:rsid w:val="4DEE1BA4"/>
    <w:rsid w:val="4DF85277"/>
    <w:rsid w:val="4DFC5B74"/>
    <w:rsid w:val="4E00643A"/>
    <w:rsid w:val="4E0D2AB8"/>
    <w:rsid w:val="4E0D5C56"/>
    <w:rsid w:val="4E0E0C8C"/>
    <w:rsid w:val="4E167E6F"/>
    <w:rsid w:val="4E1A5E9B"/>
    <w:rsid w:val="4E1C3970"/>
    <w:rsid w:val="4E1D2564"/>
    <w:rsid w:val="4E206385"/>
    <w:rsid w:val="4E220315"/>
    <w:rsid w:val="4E240EE9"/>
    <w:rsid w:val="4E2521A3"/>
    <w:rsid w:val="4E270E56"/>
    <w:rsid w:val="4E2A5C68"/>
    <w:rsid w:val="4E2B750E"/>
    <w:rsid w:val="4E465611"/>
    <w:rsid w:val="4E4774FC"/>
    <w:rsid w:val="4E480FFA"/>
    <w:rsid w:val="4E4912BB"/>
    <w:rsid w:val="4E4C5EF8"/>
    <w:rsid w:val="4E525C89"/>
    <w:rsid w:val="4E6C7842"/>
    <w:rsid w:val="4E716DD6"/>
    <w:rsid w:val="4E7961B8"/>
    <w:rsid w:val="4E7D41EF"/>
    <w:rsid w:val="4E7D5E83"/>
    <w:rsid w:val="4E8743CF"/>
    <w:rsid w:val="4E8A19A2"/>
    <w:rsid w:val="4E95357C"/>
    <w:rsid w:val="4E9555FC"/>
    <w:rsid w:val="4EA73499"/>
    <w:rsid w:val="4EAB0E75"/>
    <w:rsid w:val="4EAF2A1E"/>
    <w:rsid w:val="4EAF6660"/>
    <w:rsid w:val="4EB0263D"/>
    <w:rsid w:val="4EC112A5"/>
    <w:rsid w:val="4EC27DC2"/>
    <w:rsid w:val="4ECD0FC1"/>
    <w:rsid w:val="4ECD7A91"/>
    <w:rsid w:val="4ED06087"/>
    <w:rsid w:val="4ED44440"/>
    <w:rsid w:val="4EDE06BA"/>
    <w:rsid w:val="4EE520BF"/>
    <w:rsid w:val="4EEE23AB"/>
    <w:rsid w:val="4EFD6367"/>
    <w:rsid w:val="4F0271A1"/>
    <w:rsid w:val="4F05494C"/>
    <w:rsid w:val="4F0D50A9"/>
    <w:rsid w:val="4F152226"/>
    <w:rsid w:val="4F1A62E3"/>
    <w:rsid w:val="4F1C3A48"/>
    <w:rsid w:val="4F20737B"/>
    <w:rsid w:val="4F28335A"/>
    <w:rsid w:val="4F2C21D7"/>
    <w:rsid w:val="4F311C64"/>
    <w:rsid w:val="4F367D7E"/>
    <w:rsid w:val="4F3F7EDF"/>
    <w:rsid w:val="4F447D00"/>
    <w:rsid w:val="4F460289"/>
    <w:rsid w:val="4F4645D3"/>
    <w:rsid w:val="4F4E06AB"/>
    <w:rsid w:val="4F52283D"/>
    <w:rsid w:val="4F526862"/>
    <w:rsid w:val="4F5A268A"/>
    <w:rsid w:val="4F6E7297"/>
    <w:rsid w:val="4F737BC5"/>
    <w:rsid w:val="4F7C224C"/>
    <w:rsid w:val="4F7C3D54"/>
    <w:rsid w:val="4F8306AF"/>
    <w:rsid w:val="4F897829"/>
    <w:rsid w:val="4F970DE9"/>
    <w:rsid w:val="4F971FC4"/>
    <w:rsid w:val="4F9729EE"/>
    <w:rsid w:val="4F9E5F3F"/>
    <w:rsid w:val="4FA136A6"/>
    <w:rsid w:val="4FA5268C"/>
    <w:rsid w:val="4FAA22E5"/>
    <w:rsid w:val="4FBF606A"/>
    <w:rsid w:val="4FC15206"/>
    <w:rsid w:val="4FC804D5"/>
    <w:rsid w:val="4FCC1A25"/>
    <w:rsid w:val="4FD720B3"/>
    <w:rsid w:val="4FF22676"/>
    <w:rsid w:val="4FF5150E"/>
    <w:rsid w:val="4FF94F51"/>
    <w:rsid w:val="4FFE1B06"/>
    <w:rsid w:val="4FFF05EA"/>
    <w:rsid w:val="50047F66"/>
    <w:rsid w:val="500A40D7"/>
    <w:rsid w:val="501D3C60"/>
    <w:rsid w:val="501D7250"/>
    <w:rsid w:val="502138A5"/>
    <w:rsid w:val="502410BE"/>
    <w:rsid w:val="50283721"/>
    <w:rsid w:val="50306E16"/>
    <w:rsid w:val="50361EDB"/>
    <w:rsid w:val="5037186C"/>
    <w:rsid w:val="503A1DC6"/>
    <w:rsid w:val="503D2103"/>
    <w:rsid w:val="504658AA"/>
    <w:rsid w:val="50487BF7"/>
    <w:rsid w:val="5054517C"/>
    <w:rsid w:val="505A67EB"/>
    <w:rsid w:val="50712692"/>
    <w:rsid w:val="50750658"/>
    <w:rsid w:val="50765757"/>
    <w:rsid w:val="50767F23"/>
    <w:rsid w:val="507B7A67"/>
    <w:rsid w:val="508302E0"/>
    <w:rsid w:val="508C15FC"/>
    <w:rsid w:val="50971980"/>
    <w:rsid w:val="509B5208"/>
    <w:rsid w:val="50B35D00"/>
    <w:rsid w:val="50B63FD8"/>
    <w:rsid w:val="50B94C1E"/>
    <w:rsid w:val="50BB47E0"/>
    <w:rsid w:val="50BD18A9"/>
    <w:rsid w:val="50C46BEE"/>
    <w:rsid w:val="50DC7ADC"/>
    <w:rsid w:val="50E33CEC"/>
    <w:rsid w:val="50EC0A58"/>
    <w:rsid w:val="50FC73BD"/>
    <w:rsid w:val="50FD72C4"/>
    <w:rsid w:val="5104794E"/>
    <w:rsid w:val="51061295"/>
    <w:rsid w:val="510F1A3E"/>
    <w:rsid w:val="511C56B7"/>
    <w:rsid w:val="511D1491"/>
    <w:rsid w:val="511D153D"/>
    <w:rsid w:val="51205FD8"/>
    <w:rsid w:val="513C4376"/>
    <w:rsid w:val="51421593"/>
    <w:rsid w:val="51435D0C"/>
    <w:rsid w:val="51446169"/>
    <w:rsid w:val="51446C20"/>
    <w:rsid w:val="515811B0"/>
    <w:rsid w:val="51672E07"/>
    <w:rsid w:val="516B6A17"/>
    <w:rsid w:val="516E22FB"/>
    <w:rsid w:val="516E77B4"/>
    <w:rsid w:val="51723A65"/>
    <w:rsid w:val="51763C44"/>
    <w:rsid w:val="517666BE"/>
    <w:rsid w:val="517765FC"/>
    <w:rsid w:val="518715F4"/>
    <w:rsid w:val="518E6497"/>
    <w:rsid w:val="51914511"/>
    <w:rsid w:val="51940DB0"/>
    <w:rsid w:val="51985D68"/>
    <w:rsid w:val="519A032B"/>
    <w:rsid w:val="519E21FD"/>
    <w:rsid w:val="51AA50F9"/>
    <w:rsid w:val="51AD2D38"/>
    <w:rsid w:val="51B06B92"/>
    <w:rsid w:val="51B07591"/>
    <w:rsid w:val="51B43002"/>
    <w:rsid w:val="51BB1A11"/>
    <w:rsid w:val="51BC5AC3"/>
    <w:rsid w:val="51BD6C11"/>
    <w:rsid w:val="51D11A31"/>
    <w:rsid w:val="51D733DA"/>
    <w:rsid w:val="51DA58AE"/>
    <w:rsid w:val="51DB1EE3"/>
    <w:rsid w:val="51E5449B"/>
    <w:rsid w:val="51E66508"/>
    <w:rsid w:val="51E847AF"/>
    <w:rsid w:val="51EA7907"/>
    <w:rsid w:val="52017EFE"/>
    <w:rsid w:val="5207755E"/>
    <w:rsid w:val="52091AC0"/>
    <w:rsid w:val="521016CF"/>
    <w:rsid w:val="52132B15"/>
    <w:rsid w:val="521C3630"/>
    <w:rsid w:val="521E5FFD"/>
    <w:rsid w:val="522B486F"/>
    <w:rsid w:val="523F6A8F"/>
    <w:rsid w:val="524450A3"/>
    <w:rsid w:val="52464B12"/>
    <w:rsid w:val="524D4DB2"/>
    <w:rsid w:val="52510CC8"/>
    <w:rsid w:val="52583CBA"/>
    <w:rsid w:val="525B7583"/>
    <w:rsid w:val="525E23FE"/>
    <w:rsid w:val="52601803"/>
    <w:rsid w:val="52630730"/>
    <w:rsid w:val="526309C7"/>
    <w:rsid w:val="52643FB3"/>
    <w:rsid w:val="52677F96"/>
    <w:rsid w:val="526B3916"/>
    <w:rsid w:val="526D4F78"/>
    <w:rsid w:val="5270414C"/>
    <w:rsid w:val="52796217"/>
    <w:rsid w:val="527C51B5"/>
    <w:rsid w:val="527D208A"/>
    <w:rsid w:val="52872558"/>
    <w:rsid w:val="52897413"/>
    <w:rsid w:val="528E281C"/>
    <w:rsid w:val="529659FD"/>
    <w:rsid w:val="529F430D"/>
    <w:rsid w:val="52AB24FF"/>
    <w:rsid w:val="52AD2BFD"/>
    <w:rsid w:val="52B224F0"/>
    <w:rsid w:val="52B41228"/>
    <w:rsid w:val="52B41F04"/>
    <w:rsid w:val="52C660C9"/>
    <w:rsid w:val="52CF29D7"/>
    <w:rsid w:val="52D42E5E"/>
    <w:rsid w:val="52D76C30"/>
    <w:rsid w:val="52D84DB1"/>
    <w:rsid w:val="52D94139"/>
    <w:rsid w:val="52DB1F8A"/>
    <w:rsid w:val="52E3567F"/>
    <w:rsid w:val="52EA5678"/>
    <w:rsid w:val="52EB7ECE"/>
    <w:rsid w:val="52ED06D4"/>
    <w:rsid w:val="52F033ED"/>
    <w:rsid w:val="52F22E01"/>
    <w:rsid w:val="52F60567"/>
    <w:rsid w:val="52FE38B8"/>
    <w:rsid w:val="53001BB3"/>
    <w:rsid w:val="530265E4"/>
    <w:rsid w:val="53055DE1"/>
    <w:rsid w:val="530607B8"/>
    <w:rsid w:val="530B0E4B"/>
    <w:rsid w:val="53143779"/>
    <w:rsid w:val="531B3817"/>
    <w:rsid w:val="53264D65"/>
    <w:rsid w:val="532931AC"/>
    <w:rsid w:val="532E0652"/>
    <w:rsid w:val="533B626E"/>
    <w:rsid w:val="533D0209"/>
    <w:rsid w:val="534555A6"/>
    <w:rsid w:val="53501B3A"/>
    <w:rsid w:val="5367646B"/>
    <w:rsid w:val="536A00F5"/>
    <w:rsid w:val="5370162A"/>
    <w:rsid w:val="537514ED"/>
    <w:rsid w:val="53815461"/>
    <w:rsid w:val="538C01FF"/>
    <w:rsid w:val="539808BD"/>
    <w:rsid w:val="53987838"/>
    <w:rsid w:val="53996376"/>
    <w:rsid w:val="539E0FAF"/>
    <w:rsid w:val="539F11C7"/>
    <w:rsid w:val="53AA516E"/>
    <w:rsid w:val="53AB168D"/>
    <w:rsid w:val="53AD1FC2"/>
    <w:rsid w:val="53AE3124"/>
    <w:rsid w:val="53B07B30"/>
    <w:rsid w:val="53B112E7"/>
    <w:rsid w:val="53BA03F0"/>
    <w:rsid w:val="53BE6103"/>
    <w:rsid w:val="53C818BC"/>
    <w:rsid w:val="53CA1255"/>
    <w:rsid w:val="53CD3590"/>
    <w:rsid w:val="53CE5FB2"/>
    <w:rsid w:val="53D32C63"/>
    <w:rsid w:val="53D848DE"/>
    <w:rsid w:val="53D8539B"/>
    <w:rsid w:val="53DE6F83"/>
    <w:rsid w:val="53E17EA9"/>
    <w:rsid w:val="53EB1643"/>
    <w:rsid w:val="53EF3446"/>
    <w:rsid w:val="53F01264"/>
    <w:rsid w:val="53F60260"/>
    <w:rsid w:val="53FC0EC4"/>
    <w:rsid w:val="53FD1729"/>
    <w:rsid w:val="5400395F"/>
    <w:rsid w:val="54040C6F"/>
    <w:rsid w:val="54060FA4"/>
    <w:rsid w:val="54062707"/>
    <w:rsid w:val="540713EF"/>
    <w:rsid w:val="540A755E"/>
    <w:rsid w:val="541233D7"/>
    <w:rsid w:val="54132820"/>
    <w:rsid w:val="541C0907"/>
    <w:rsid w:val="541C389D"/>
    <w:rsid w:val="541F29DD"/>
    <w:rsid w:val="541F3A7B"/>
    <w:rsid w:val="542B1C77"/>
    <w:rsid w:val="54354594"/>
    <w:rsid w:val="54417F66"/>
    <w:rsid w:val="5448592B"/>
    <w:rsid w:val="544A3609"/>
    <w:rsid w:val="544C7BFD"/>
    <w:rsid w:val="545029C2"/>
    <w:rsid w:val="5450301F"/>
    <w:rsid w:val="5450471C"/>
    <w:rsid w:val="545575B8"/>
    <w:rsid w:val="5459359C"/>
    <w:rsid w:val="545A49CA"/>
    <w:rsid w:val="545B159C"/>
    <w:rsid w:val="546032DF"/>
    <w:rsid w:val="546A0C9D"/>
    <w:rsid w:val="546A3A38"/>
    <w:rsid w:val="54742AC9"/>
    <w:rsid w:val="547651B8"/>
    <w:rsid w:val="547711C1"/>
    <w:rsid w:val="54780EBC"/>
    <w:rsid w:val="547A32AF"/>
    <w:rsid w:val="547F33FC"/>
    <w:rsid w:val="548379B4"/>
    <w:rsid w:val="549001C6"/>
    <w:rsid w:val="54910490"/>
    <w:rsid w:val="54A036AE"/>
    <w:rsid w:val="54A20BF1"/>
    <w:rsid w:val="54A25B78"/>
    <w:rsid w:val="54B15550"/>
    <w:rsid w:val="54B41F69"/>
    <w:rsid w:val="54B44301"/>
    <w:rsid w:val="54B92A50"/>
    <w:rsid w:val="54C2646B"/>
    <w:rsid w:val="54C72B03"/>
    <w:rsid w:val="54CC69D9"/>
    <w:rsid w:val="54CD0339"/>
    <w:rsid w:val="54D007A0"/>
    <w:rsid w:val="54D65F23"/>
    <w:rsid w:val="54DF2F31"/>
    <w:rsid w:val="54E2012F"/>
    <w:rsid w:val="54E94703"/>
    <w:rsid w:val="54EA17CF"/>
    <w:rsid w:val="54EC78E4"/>
    <w:rsid w:val="54EF0AAE"/>
    <w:rsid w:val="54F05AD2"/>
    <w:rsid w:val="54F77F3B"/>
    <w:rsid w:val="54F8324E"/>
    <w:rsid w:val="54F9507D"/>
    <w:rsid w:val="54FD7D3B"/>
    <w:rsid w:val="54FF10C9"/>
    <w:rsid w:val="5503389B"/>
    <w:rsid w:val="5505589D"/>
    <w:rsid w:val="55090AE5"/>
    <w:rsid w:val="550921EF"/>
    <w:rsid w:val="550B4B63"/>
    <w:rsid w:val="551038BC"/>
    <w:rsid w:val="5518442B"/>
    <w:rsid w:val="552611B1"/>
    <w:rsid w:val="5527091F"/>
    <w:rsid w:val="55280537"/>
    <w:rsid w:val="552D7F72"/>
    <w:rsid w:val="553271D3"/>
    <w:rsid w:val="55391D2A"/>
    <w:rsid w:val="55496DEC"/>
    <w:rsid w:val="554B700A"/>
    <w:rsid w:val="554F2666"/>
    <w:rsid w:val="5556678D"/>
    <w:rsid w:val="55591795"/>
    <w:rsid w:val="55591DC6"/>
    <w:rsid w:val="555C29F5"/>
    <w:rsid w:val="55600ECB"/>
    <w:rsid w:val="556C60B3"/>
    <w:rsid w:val="556E0F24"/>
    <w:rsid w:val="55754E2B"/>
    <w:rsid w:val="55765492"/>
    <w:rsid w:val="557813BB"/>
    <w:rsid w:val="55790B96"/>
    <w:rsid w:val="558B13F4"/>
    <w:rsid w:val="558F1BF0"/>
    <w:rsid w:val="55945D37"/>
    <w:rsid w:val="559C06D5"/>
    <w:rsid w:val="55A33F58"/>
    <w:rsid w:val="55AA0F8C"/>
    <w:rsid w:val="55AA5633"/>
    <w:rsid w:val="55B038A7"/>
    <w:rsid w:val="55B115A2"/>
    <w:rsid w:val="55BE5B7F"/>
    <w:rsid w:val="55C87E5B"/>
    <w:rsid w:val="55CD5E8D"/>
    <w:rsid w:val="55D26CCF"/>
    <w:rsid w:val="55DB4561"/>
    <w:rsid w:val="55E1160F"/>
    <w:rsid w:val="55E54B88"/>
    <w:rsid w:val="55E83185"/>
    <w:rsid w:val="55EB1F25"/>
    <w:rsid w:val="56037DAB"/>
    <w:rsid w:val="561D3BDC"/>
    <w:rsid w:val="561F58ED"/>
    <w:rsid w:val="5625322F"/>
    <w:rsid w:val="562B1A63"/>
    <w:rsid w:val="562D525A"/>
    <w:rsid w:val="563E52B4"/>
    <w:rsid w:val="563E5AB2"/>
    <w:rsid w:val="56467D4A"/>
    <w:rsid w:val="564C522B"/>
    <w:rsid w:val="565A2C86"/>
    <w:rsid w:val="565A31DA"/>
    <w:rsid w:val="56642809"/>
    <w:rsid w:val="566E0EBF"/>
    <w:rsid w:val="567C6182"/>
    <w:rsid w:val="567E74DD"/>
    <w:rsid w:val="56820B96"/>
    <w:rsid w:val="568F736C"/>
    <w:rsid w:val="56950B50"/>
    <w:rsid w:val="56974290"/>
    <w:rsid w:val="56A501F8"/>
    <w:rsid w:val="56A66AE5"/>
    <w:rsid w:val="56A959BB"/>
    <w:rsid w:val="56AF7CCD"/>
    <w:rsid w:val="56B153C0"/>
    <w:rsid w:val="56B85FEE"/>
    <w:rsid w:val="56BB4490"/>
    <w:rsid w:val="56C055FC"/>
    <w:rsid w:val="56C35EF2"/>
    <w:rsid w:val="56C4168A"/>
    <w:rsid w:val="56CC638C"/>
    <w:rsid w:val="56D3410E"/>
    <w:rsid w:val="56D51BC3"/>
    <w:rsid w:val="56DB67A7"/>
    <w:rsid w:val="56E438E6"/>
    <w:rsid w:val="56ED1B6A"/>
    <w:rsid w:val="56F00E30"/>
    <w:rsid w:val="56F53615"/>
    <w:rsid w:val="56FB146A"/>
    <w:rsid w:val="56FE6C32"/>
    <w:rsid w:val="57030D27"/>
    <w:rsid w:val="57050993"/>
    <w:rsid w:val="570908B6"/>
    <w:rsid w:val="570914EF"/>
    <w:rsid w:val="570A2C48"/>
    <w:rsid w:val="570D273C"/>
    <w:rsid w:val="572B4C89"/>
    <w:rsid w:val="572E7A59"/>
    <w:rsid w:val="573518D3"/>
    <w:rsid w:val="57355064"/>
    <w:rsid w:val="57372625"/>
    <w:rsid w:val="573C19D3"/>
    <w:rsid w:val="573F18BD"/>
    <w:rsid w:val="574035EE"/>
    <w:rsid w:val="57411336"/>
    <w:rsid w:val="57490B9C"/>
    <w:rsid w:val="57501DED"/>
    <w:rsid w:val="57605DC5"/>
    <w:rsid w:val="57622A79"/>
    <w:rsid w:val="57625050"/>
    <w:rsid w:val="57634140"/>
    <w:rsid w:val="576524BB"/>
    <w:rsid w:val="577F5FA9"/>
    <w:rsid w:val="577F68C1"/>
    <w:rsid w:val="57812F5F"/>
    <w:rsid w:val="57857E51"/>
    <w:rsid w:val="57923796"/>
    <w:rsid w:val="57934913"/>
    <w:rsid w:val="57983F8D"/>
    <w:rsid w:val="57992637"/>
    <w:rsid w:val="57A1552E"/>
    <w:rsid w:val="57A1557A"/>
    <w:rsid w:val="57A41BF3"/>
    <w:rsid w:val="57BE1B02"/>
    <w:rsid w:val="57C24C91"/>
    <w:rsid w:val="57C91D3E"/>
    <w:rsid w:val="57CB6747"/>
    <w:rsid w:val="57D04AAE"/>
    <w:rsid w:val="57D32AB5"/>
    <w:rsid w:val="57D64B57"/>
    <w:rsid w:val="57D65532"/>
    <w:rsid w:val="57E92226"/>
    <w:rsid w:val="57EE6662"/>
    <w:rsid w:val="57F44BB0"/>
    <w:rsid w:val="57F715EE"/>
    <w:rsid w:val="57FB5BFD"/>
    <w:rsid w:val="57FC57BD"/>
    <w:rsid w:val="57FD68F4"/>
    <w:rsid w:val="57FF6155"/>
    <w:rsid w:val="580140A6"/>
    <w:rsid w:val="5809281C"/>
    <w:rsid w:val="580B6E3C"/>
    <w:rsid w:val="580C1C8E"/>
    <w:rsid w:val="580C6FE8"/>
    <w:rsid w:val="580D3C1C"/>
    <w:rsid w:val="58120B37"/>
    <w:rsid w:val="581E62DD"/>
    <w:rsid w:val="58291B84"/>
    <w:rsid w:val="58305016"/>
    <w:rsid w:val="583220CE"/>
    <w:rsid w:val="58342026"/>
    <w:rsid w:val="58352DE6"/>
    <w:rsid w:val="583D3163"/>
    <w:rsid w:val="585573F6"/>
    <w:rsid w:val="585673E9"/>
    <w:rsid w:val="586C3CC6"/>
    <w:rsid w:val="586F7C2F"/>
    <w:rsid w:val="58761BFE"/>
    <w:rsid w:val="58783CFA"/>
    <w:rsid w:val="587845C9"/>
    <w:rsid w:val="58876CDB"/>
    <w:rsid w:val="58901BC2"/>
    <w:rsid w:val="58951088"/>
    <w:rsid w:val="58990FC0"/>
    <w:rsid w:val="589C3085"/>
    <w:rsid w:val="58A14C54"/>
    <w:rsid w:val="58A64233"/>
    <w:rsid w:val="58B13452"/>
    <w:rsid w:val="58BB3DC0"/>
    <w:rsid w:val="58D95B4A"/>
    <w:rsid w:val="58DE7B7E"/>
    <w:rsid w:val="58E236F3"/>
    <w:rsid w:val="5906051B"/>
    <w:rsid w:val="5906339C"/>
    <w:rsid w:val="590C2C4C"/>
    <w:rsid w:val="59131292"/>
    <w:rsid w:val="59135B55"/>
    <w:rsid w:val="59153798"/>
    <w:rsid w:val="59232A72"/>
    <w:rsid w:val="592D4A6E"/>
    <w:rsid w:val="592F6715"/>
    <w:rsid w:val="593B3B47"/>
    <w:rsid w:val="59423F6D"/>
    <w:rsid w:val="5942577F"/>
    <w:rsid w:val="59456A20"/>
    <w:rsid w:val="594953B7"/>
    <w:rsid w:val="594F2E37"/>
    <w:rsid w:val="59506971"/>
    <w:rsid w:val="5957491D"/>
    <w:rsid w:val="595B3690"/>
    <w:rsid w:val="5963115F"/>
    <w:rsid w:val="5969369E"/>
    <w:rsid w:val="596A0C5D"/>
    <w:rsid w:val="596F61FA"/>
    <w:rsid w:val="59877F69"/>
    <w:rsid w:val="59903B9E"/>
    <w:rsid w:val="59924FF5"/>
    <w:rsid w:val="5994436D"/>
    <w:rsid w:val="599A2BD6"/>
    <w:rsid w:val="59AD7B08"/>
    <w:rsid w:val="59AF277F"/>
    <w:rsid w:val="59B56492"/>
    <w:rsid w:val="59BB2ACA"/>
    <w:rsid w:val="59BC3568"/>
    <w:rsid w:val="59C35ACF"/>
    <w:rsid w:val="59C44115"/>
    <w:rsid w:val="59D00092"/>
    <w:rsid w:val="59D7753C"/>
    <w:rsid w:val="59D9147E"/>
    <w:rsid w:val="59E8725B"/>
    <w:rsid w:val="59F658D0"/>
    <w:rsid w:val="5A0170B3"/>
    <w:rsid w:val="5A02182B"/>
    <w:rsid w:val="5A0633CF"/>
    <w:rsid w:val="5A0903C9"/>
    <w:rsid w:val="5A0D509A"/>
    <w:rsid w:val="5A0E4C2F"/>
    <w:rsid w:val="5A140578"/>
    <w:rsid w:val="5A180A3A"/>
    <w:rsid w:val="5A2400DF"/>
    <w:rsid w:val="5A311EF2"/>
    <w:rsid w:val="5A3D38EF"/>
    <w:rsid w:val="5A444794"/>
    <w:rsid w:val="5A4802BF"/>
    <w:rsid w:val="5A4C7D25"/>
    <w:rsid w:val="5A533A0A"/>
    <w:rsid w:val="5A551986"/>
    <w:rsid w:val="5A552EDD"/>
    <w:rsid w:val="5A557127"/>
    <w:rsid w:val="5A5810F3"/>
    <w:rsid w:val="5A625492"/>
    <w:rsid w:val="5A643AC8"/>
    <w:rsid w:val="5A64740A"/>
    <w:rsid w:val="5A664CCE"/>
    <w:rsid w:val="5A6F000D"/>
    <w:rsid w:val="5A706AAD"/>
    <w:rsid w:val="5A746011"/>
    <w:rsid w:val="5A76641A"/>
    <w:rsid w:val="5A821C67"/>
    <w:rsid w:val="5A8A5E83"/>
    <w:rsid w:val="5A912D68"/>
    <w:rsid w:val="5A9330C3"/>
    <w:rsid w:val="5A9860AF"/>
    <w:rsid w:val="5AA20ED6"/>
    <w:rsid w:val="5AA63641"/>
    <w:rsid w:val="5AA708CA"/>
    <w:rsid w:val="5AAC551A"/>
    <w:rsid w:val="5AAE4AE5"/>
    <w:rsid w:val="5AAF40C7"/>
    <w:rsid w:val="5AB37F0E"/>
    <w:rsid w:val="5AB558BB"/>
    <w:rsid w:val="5AC77EF9"/>
    <w:rsid w:val="5AE363FD"/>
    <w:rsid w:val="5AEE535F"/>
    <w:rsid w:val="5AF17F45"/>
    <w:rsid w:val="5AF26392"/>
    <w:rsid w:val="5AF54ABD"/>
    <w:rsid w:val="5AFD5309"/>
    <w:rsid w:val="5B0977E6"/>
    <w:rsid w:val="5B0C4CA2"/>
    <w:rsid w:val="5B117512"/>
    <w:rsid w:val="5B204F54"/>
    <w:rsid w:val="5B2561D1"/>
    <w:rsid w:val="5B2A28AF"/>
    <w:rsid w:val="5B2D4026"/>
    <w:rsid w:val="5B2E155A"/>
    <w:rsid w:val="5B34038F"/>
    <w:rsid w:val="5B353868"/>
    <w:rsid w:val="5B3B4BE1"/>
    <w:rsid w:val="5B4A6C9F"/>
    <w:rsid w:val="5B55211D"/>
    <w:rsid w:val="5B5C1B01"/>
    <w:rsid w:val="5B5E6F93"/>
    <w:rsid w:val="5B6160B4"/>
    <w:rsid w:val="5B6503CD"/>
    <w:rsid w:val="5B650996"/>
    <w:rsid w:val="5B691244"/>
    <w:rsid w:val="5B6F2330"/>
    <w:rsid w:val="5B7C1860"/>
    <w:rsid w:val="5B7F50BF"/>
    <w:rsid w:val="5B867F38"/>
    <w:rsid w:val="5B9207A8"/>
    <w:rsid w:val="5B9D16B1"/>
    <w:rsid w:val="5B9F7DAC"/>
    <w:rsid w:val="5BB11A8A"/>
    <w:rsid w:val="5BB77E50"/>
    <w:rsid w:val="5BBB37E1"/>
    <w:rsid w:val="5BBB3896"/>
    <w:rsid w:val="5BBF1064"/>
    <w:rsid w:val="5BC37E56"/>
    <w:rsid w:val="5BD24C1E"/>
    <w:rsid w:val="5BE16D18"/>
    <w:rsid w:val="5BF64828"/>
    <w:rsid w:val="5C037E45"/>
    <w:rsid w:val="5C0553DC"/>
    <w:rsid w:val="5C111495"/>
    <w:rsid w:val="5C165947"/>
    <w:rsid w:val="5C1661A5"/>
    <w:rsid w:val="5C1739FF"/>
    <w:rsid w:val="5C1C14C5"/>
    <w:rsid w:val="5C203518"/>
    <w:rsid w:val="5C323D5A"/>
    <w:rsid w:val="5C3405B2"/>
    <w:rsid w:val="5C3E4B32"/>
    <w:rsid w:val="5C452B17"/>
    <w:rsid w:val="5C4863C1"/>
    <w:rsid w:val="5C61437B"/>
    <w:rsid w:val="5C6C3BBC"/>
    <w:rsid w:val="5C6C3BD8"/>
    <w:rsid w:val="5C776406"/>
    <w:rsid w:val="5C7E4751"/>
    <w:rsid w:val="5C8429AC"/>
    <w:rsid w:val="5C8C06C1"/>
    <w:rsid w:val="5C8F1170"/>
    <w:rsid w:val="5C992D62"/>
    <w:rsid w:val="5C993776"/>
    <w:rsid w:val="5CA01D3B"/>
    <w:rsid w:val="5CB02287"/>
    <w:rsid w:val="5CB423AB"/>
    <w:rsid w:val="5CB55948"/>
    <w:rsid w:val="5CB6146B"/>
    <w:rsid w:val="5CC101EF"/>
    <w:rsid w:val="5CC24B59"/>
    <w:rsid w:val="5CCB0E45"/>
    <w:rsid w:val="5CCC5196"/>
    <w:rsid w:val="5CCF1899"/>
    <w:rsid w:val="5CDB1524"/>
    <w:rsid w:val="5CDF5473"/>
    <w:rsid w:val="5CE478AD"/>
    <w:rsid w:val="5CE53B50"/>
    <w:rsid w:val="5CE85C91"/>
    <w:rsid w:val="5CE86BC5"/>
    <w:rsid w:val="5CEC135C"/>
    <w:rsid w:val="5CEC53A5"/>
    <w:rsid w:val="5CF44D5B"/>
    <w:rsid w:val="5CF71428"/>
    <w:rsid w:val="5D007836"/>
    <w:rsid w:val="5D0122A8"/>
    <w:rsid w:val="5D15701B"/>
    <w:rsid w:val="5D1773C9"/>
    <w:rsid w:val="5D1F428A"/>
    <w:rsid w:val="5D2E5F5D"/>
    <w:rsid w:val="5D34149D"/>
    <w:rsid w:val="5D3B5726"/>
    <w:rsid w:val="5D4601B1"/>
    <w:rsid w:val="5D494DBC"/>
    <w:rsid w:val="5D4A265D"/>
    <w:rsid w:val="5D4B34BD"/>
    <w:rsid w:val="5D535FE2"/>
    <w:rsid w:val="5D55588E"/>
    <w:rsid w:val="5D5723E7"/>
    <w:rsid w:val="5D5A0839"/>
    <w:rsid w:val="5D703A41"/>
    <w:rsid w:val="5D735CD6"/>
    <w:rsid w:val="5D7A5CAC"/>
    <w:rsid w:val="5D7B0085"/>
    <w:rsid w:val="5D7B50D7"/>
    <w:rsid w:val="5D7E75E3"/>
    <w:rsid w:val="5D811B5C"/>
    <w:rsid w:val="5D893FCF"/>
    <w:rsid w:val="5D8D1664"/>
    <w:rsid w:val="5D8F19B7"/>
    <w:rsid w:val="5DAB27C9"/>
    <w:rsid w:val="5DAF2433"/>
    <w:rsid w:val="5DB05ED7"/>
    <w:rsid w:val="5DB206D3"/>
    <w:rsid w:val="5DB46EC8"/>
    <w:rsid w:val="5DB53F80"/>
    <w:rsid w:val="5DC95E33"/>
    <w:rsid w:val="5DCB6A18"/>
    <w:rsid w:val="5DD1503B"/>
    <w:rsid w:val="5DD371C8"/>
    <w:rsid w:val="5DE06536"/>
    <w:rsid w:val="5DF06923"/>
    <w:rsid w:val="5DF62164"/>
    <w:rsid w:val="5DF84E51"/>
    <w:rsid w:val="5E01777C"/>
    <w:rsid w:val="5E03619E"/>
    <w:rsid w:val="5E0E3C30"/>
    <w:rsid w:val="5E12502D"/>
    <w:rsid w:val="5E147D13"/>
    <w:rsid w:val="5E263E82"/>
    <w:rsid w:val="5E3245D8"/>
    <w:rsid w:val="5E332019"/>
    <w:rsid w:val="5E353A43"/>
    <w:rsid w:val="5E3564A3"/>
    <w:rsid w:val="5E39617D"/>
    <w:rsid w:val="5E5A73BB"/>
    <w:rsid w:val="5E5D1AF4"/>
    <w:rsid w:val="5E5D7076"/>
    <w:rsid w:val="5E6572A9"/>
    <w:rsid w:val="5E6F4588"/>
    <w:rsid w:val="5E743768"/>
    <w:rsid w:val="5E790CA0"/>
    <w:rsid w:val="5E7945FC"/>
    <w:rsid w:val="5E7C6322"/>
    <w:rsid w:val="5E832A8B"/>
    <w:rsid w:val="5E866479"/>
    <w:rsid w:val="5E8B3271"/>
    <w:rsid w:val="5E9077B9"/>
    <w:rsid w:val="5E930082"/>
    <w:rsid w:val="5EB351E3"/>
    <w:rsid w:val="5EB6009E"/>
    <w:rsid w:val="5EBF459F"/>
    <w:rsid w:val="5ECB5E0F"/>
    <w:rsid w:val="5ECF22A5"/>
    <w:rsid w:val="5ED32946"/>
    <w:rsid w:val="5ED53B61"/>
    <w:rsid w:val="5EDE746E"/>
    <w:rsid w:val="5EE278D0"/>
    <w:rsid w:val="5EEA3F0C"/>
    <w:rsid w:val="5F031672"/>
    <w:rsid w:val="5F0627E3"/>
    <w:rsid w:val="5F087F3E"/>
    <w:rsid w:val="5F0E22EC"/>
    <w:rsid w:val="5F0E5841"/>
    <w:rsid w:val="5F0E7AA1"/>
    <w:rsid w:val="5F1A7C3C"/>
    <w:rsid w:val="5F2022F1"/>
    <w:rsid w:val="5F2E5A95"/>
    <w:rsid w:val="5F4C162A"/>
    <w:rsid w:val="5F4E5EBD"/>
    <w:rsid w:val="5F631F2A"/>
    <w:rsid w:val="5F6A7470"/>
    <w:rsid w:val="5F701D7B"/>
    <w:rsid w:val="5F727FC6"/>
    <w:rsid w:val="5F862BEB"/>
    <w:rsid w:val="5F884A07"/>
    <w:rsid w:val="5F89195D"/>
    <w:rsid w:val="5FA24E2B"/>
    <w:rsid w:val="5FA91308"/>
    <w:rsid w:val="5FB15A0A"/>
    <w:rsid w:val="5FBE789B"/>
    <w:rsid w:val="5FC32714"/>
    <w:rsid w:val="5FC469D3"/>
    <w:rsid w:val="5FCA4ED2"/>
    <w:rsid w:val="5FD2539A"/>
    <w:rsid w:val="5FD862BD"/>
    <w:rsid w:val="5FD97F4B"/>
    <w:rsid w:val="5FDC76C8"/>
    <w:rsid w:val="5FDD0F28"/>
    <w:rsid w:val="5FE125D9"/>
    <w:rsid w:val="5FE12E56"/>
    <w:rsid w:val="5FF331E0"/>
    <w:rsid w:val="5FF623A7"/>
    <w:rsid w:val="5FF82A8C"/>
    <w:rsid w:val="5FFD046B"/>
    <w:rsid w:val="60053101"/>
    <w:rsid w:val="60085D90"/>
    <w:rsid w:val="60094BC3"/>
    <w:rsid w:val="60144F61"/>
    <w:rsid w:val="60146EA0"/>
    <w:rsid w:val="601577B9"/>
    <w:rsid w:val="601C7F66"/>
    <w:rsid w:val="601D4E23"/>
    <w:rsid w:val="60211770"/>
    <w:rsid w:val="60265BCA"/>
    <w:rsid w:val="60285FA1"/>
    <w:rsid w:val="603A2B07"/>
    <w:rsid w:val="6054527B"/>
    <w:rsid w:val="60595B9F"/>
    <w:rsid w:val="60622A35"/>
    <w:rsid w:val="6069345E"/>
    <w:rsid w:val="607A5C32"/>
    <w:rsid w:val="607F45F5"/>
    <w:rsid w:val="607F6BA2"/>
    <w:rsid w:val="60835BF0"/>
    <w:rsid w:val="60885E60"/>
    <w:rsid w:val="608E4E60"/>
    <w:rsid w:val="608F7C3C"/>
    <w:rsid w:val="609546A5"/>
    <w:rsid w:val="60A26AA3"/>
    <w:rsid w:val="60A35595"/>
    <w:rsid w:val="60A42897"/>
    <w:rsid w:val="60A652C9"/>
    <w:rsid w:val="60A9540D"/>
    <w:rsid w:val="60AF75A0"/>
    <w:rsid w:val="60B34C56"/>
    <w:rsid w:val="60B3575F"/>
    <w:rsid w:val="60BE3971"/>
    <w:rsid w:val="60C36BAA"/>
    <w:rsid w:val="60C41097"/>
    <w:rsid w:val="60CF13A2"/>
    <w:rsid w:val="60D351F3"/>
    <w:rsid w:val="60D94239"/>
    <w:rsid w:val="60D95ACB"/>
    <w:rsid w:val="60DA02C2"/>
    <w:rsid w:val="60DA6828"/>
    <w:rsid w:val="60DC5FD9"/>
    <w:rsid w:val="60DF0B6A"/>
    <w:rsid w:val="60E471F1"/>
    <w:rsid w:val="60EC36E8"/>
    <w:rsid w:val="60F03883"/>
    <w:rsid w:val="60F600EF"/>
    <w:rsid w:val="60F864F0"/>
    <w:rsid w:val="60FC40AB"/>
    <w:rsid w:val="610244AA"/>
    <w:rsid w:val="61091DD5"/>
    <w:rsid w:val="611304E9"/>
    <w:rsid w:val="61186287"/>
    <w:rsid w:val="612079FB"/>
    <w:rsid w:val="612167D8"/>
    <w:rsid w:val="61271031"/>
    <w:rsid w:val="613045F7"/>
    <w:rsid w:val="61323E7D"/>
    <w:rsid w:val="6145645F"/>
    <w:rsid w:val="614B50C1"/>
    <w:rsid w:val="614D07F9"/>
    <w:rsid w:val="61517443"/>
    <w:rsid w:val="616B48FA"/>
    <w:rsid w:val="616F5BBC"/>
    <w:rsid w:val="61705093"/>
    <w:rsid w:val="61761D0A"/>
    <w:rsid w:val="618F5E5F"/>
    <w:rsid w:val="619B49C8"/>
    <w:rsid w:val="61A7126A"/>
    <w:rsid w:val="61B00A1E"/>
    <w:rsid w:val="61C06B4A"/>
    <w:rsid w:val="61C44FB6"/>
    <w:rsid w:val="61CA606C"/>
    <w:rsid w:val="61CB08BD"/>
    <w:rsid w:val="61D22910"/>
    <w:rsid w:val="61D879B9"/>
    <w:rsid w:val="61DE243F"/>
    <w:rsid w:val="61E272EB"/>
    <w:rsid w:val="61E57F28"/>
    <w:rsid w:val="61EB205E"/>
    <w:rsid w:val="61F466F6"/>
    <w:rsid w:val="61F776B3"/>
    <w:rsid w:val="61F81C3A"/>
    <w:rsid w:val="62001C33"/>
    <w:rsid w:val="62006316"/>
    <w:rsid w:val="620279F8"/>
    <w:rsid w:val="620873DA"/>
    <w:rsid w:val="620E5129"/>
    <w:rsid w:val="62144DB7"/>
    <w:rsid w:val="621A1E15"/>
    <w:rsid w:val="621A51B1"/>
    <w:rsid w:val="621B7911"/>
    <w:rsid w:val="621D7BEF"/>
    <w:rsid w:val="622149E2"/>
    <w:rsid w:val="62244482"/>
    <w:rsid w:val="622446F8"/>
    <w:rsid w:val="622C2A0D"/>
    <w:rsid w:val="623503C6"/>
    <w:rsid w:val="62360CE8"/>
    <w:rsid w:val="6236217E"/>
    <w:rsid w:val="62364403"/>
    <w:rsid w:val="62387CD2"/>
    <w:rsid w:val="62436960"/>
    <w:rsid w:val="624B7DDA"/>
    <w:rsid w:val="625B5C3E"/>
    <w:rsid w:val="625C6B16"/>
    <w:rsid w:val="625F53CD"/>
    <w:rsid w:val="62604FDE"/>
    <w:rsid w:val="6261344F"/>
    <w:rsid w:val="626252C2"/>
    <w:rsid w:val="627B5880"/>
    <w:rsid w:val="627F5228"/>
    <w:rsid w:val="628622AD"/>
    <w:rsid w:val="628950F7"/>
    <w:rsid w:val="629302A3"/>
    <w:rsid w:val="6294124F"/>
    <w:rsid w:val="629F5000"/>
    <w:rsid w:val="62A22CA2"/>
    <w:rsid w:val="62AB4B55"/>
    <w:rsid w:val="62B24BE1"/>
    <w:rsid w:val="62B96E86"/>
    <w:rsid w:val="62C051BD"/>
    <w:rsid w:val="62C21705"/>
    <w:rsid w:val="62D17676"/>
    <w:rsid w:val="62D32BA1"/>
    <w:rsid w:val="62D54750"/>
    <w:rsid w:val="63025A66"/>
    <w:rsid w:val="63027145"/>
    <w:rsid w:val="63027E85"/>
    <w:rsid w:val="630602F5"/>
    <w:rsid w:val="63075750"/>
    <w:rsid w:val="630E477B"/>
    <w:rsid w:val="63126691"/>
    <w:rsid w:val="63161581"/>
    <w:rsid w:val="633571CC"/>
    <w:rsid w:val="633730F3"/>
    <w:rsid w:val="633B709F"/>
    <w:rsid w:val="633C4C22"/>
    <w:rsid w:val="63455CC7"/>
    <w:rsid w:val="6348512C"/>
    <w:rsid w:val="634D0FFB"/>
    <w:rsid w:val="634D4E50"/>
    <w:rsid w:val="634D6D58"/>
    <w:rsid w:val="63607B63"/>
    <w:rsid w:val="63615330"/>
    <w:rsid w:val="63635E2F"/>
    <w:rsid w:val="636451F8"/>
    <w:rsid w:val="636A3638"/>
    <w:rsid w:val="6372606D"/>
    <w:rsid w:val="637500A0"/>
    <w:rsid w:val="637B1E71"/>
    <w:rsid w:val="63831968"/>
    <w:rsid w:val="63864396"/>
    <w:rsid w:val="638B06E1"/>
    <w:rsid w:val="63A53B36"/>
    <w:rsid w:val="63A86F13"/>
    <w:rsid w:val="63AC40B1"/>
    <w:rsid w:val="63AC7B01"/>
    <w:rsid w:val="63B069B7"/>
    <w:rsid w:val="63B97FD0"/>
    <w:rsid w:val="63BB55DA"/>
    <w:rsid w:val="63C85E2C"/>
    <w:rsid w:val="63D26F65"/>
    <w:rsid w:val="63D92960"/>
    <w:rsid w:val="63E13B71"/>
    <w:rsid w:val="63E35F3A"/>
    <w:rsid w:val="63EC4F0E"/>
    <w:rsid w:val="63F11413"/>
    <w:rsid w:val="63F12198"/>
    <w:rsid w:val="63F334E7"/>
    <w:rsid w:val="63F84086"/>
    <w:rsid w:val="63FC288F"/>
    <w:rsid w:val="63FF4C2E"/>
    <w:rsid w:val="64026BBB"/>
    <w:rsid w:val="64075D66"/>
    <w:rsid w:val="6419743D"/>
    <w:rsid w:val="642D197F"/>
    <w:rsid w:val="64351649"/>
    <w:rsid w:val="643811A9"/>
    <w:rsid w:val="643B6DF3"/>
    <w:rsid w:val="643E6049"/>
    <w:rsid w:val="64505561"/>
    <w:rsid w:val="6451172E"/>
    <w:rsid w:val="645A17BF"/>
    <w:rsid w:val="645B218B"/>
    <w:rsid w:val="645D0F75"/>
    <w:rsid w:val="64640FD6"/>
    <w:rsid w:val="64667B28"/>
    <w:rsid w:val="646949A2"/>
    <w:rsid w:val="646E6EC8"/>
    <w:rsid w:val="64752152"/>
    <w:rsid w:val="64791C0F"/>
    <w:rsid w:val="647A4FD2"/>
    <w:rsid w:val="647F6B9A"/>
    <w:rsid w:val="64802D6E"/>
    <w:rsid w:val="6481537F"/>
    <w:rsid w:val="648209AC"/>
    <w:rsid w:val="648F56C4"/>
    <w:rsid w:val="64921F12"/>
    <w:rsid w:val="649648C4"/>
    <w:rsid w:val="649C135E"/>
    <w:rsid w:val="64A30E44"/>
    <w:rsid w:val="64A37A75"/>
    <w:rsid w:val="64A45340"/>
    <w:rsid w:val="64A5354D"/>
    <w:rsid w:val="64B004F2"/>
    <w:rsid w:val="64B7696A"/>
    <w:rsid w:val="64BF2823"/>
    <w:rsid w:val="64C537A6"/>
    <w:rsid w:val="64D30230"/>
    <w:rsid w:val="64D63E20"/>
    <w:rsid w:val="64D72FAF"/>
    <w:rsid w:val="64D81ED5"/>
    <w:rsid w:val="64D85ADD"/>
    <w:rsid w:val="64DD39E4"/>
    <w:rsid w:val="64E01C49"/>
    <w:rsid w:val="64E45A26"/>
    <w:rsid w:val="64F31493"/>
    <w:rsid w:val="64FA0716"/>
    <w:rsid w:val="64FC60A7"/>
    <w:rsid w:val="65034DED"/>
    <w:rsid w:val="650B4776"/>
    <w:rsid w:val="65182A1E"/>
    <w:rsid w:val="65194470"/>
    <w:rsid w:val="652F1ED5"/>
    <w:rsid w:val="65333907"/>
    <w:rsid w:val="65341AB7"/>
    <w:rsid w:val="6535257A"/>
    <w:rsid w:val="653B271E"/>
    <w:rsid w:val="653D34A1"/>
    <w:rsid w:val="654C0A01"/>
    <w:rsid w:val="654C400E"/>
    <w:rsid w:val="654D7969"/>
    <w:rsid w:val="65586BE3"/>
    <w:rsid w:val="655C6B59"/>
    <w:rsid w:val="655D369B"/>
    <w:rsid w:val="65624DEB"/>
    <w:rsid w:val="65642043"/>
    <w:rsid w:val="65717E39"/>
    <w:rsid w:val="65760643"/>
    <w:rsid w:val="658123CB"/>
    <w:rsid w:val="658837DB"/>
    <w:rsid w:val="65931D3A"/>
    <w:rsid w:val="659822DD"/>
    <w:rsid w:val="65982448"/>
    <w:rsid w:val="65A219CF"/>
    <w:rsid w:val="65A3380C"/>
    <w:rsid w:val="65B44DD6"/>
    <w:rsid w:val="65BA2FC9"/>
    <w:rsid w:val="65C01578"/>
    <w:rsid w:val="65C43767"/>
    <w:rsid w:val="65C43B43"/>
    <w:rsid w:val="65D21F83"/>
    <w:rsid w:val="65D60201"/>
    <w:rsid w:val="65D95B4E"/>
    <w:rsid w:val="65E174B2"/>
    <w:rsid w:val="65E31C55"/>
    <w:rsid w:val="65ED5D93"/>
    <w:rsid w:val="65EF47B9"/>
    <w:rsid w:val="65F01AB4"/>
    <w:rsid w:val="65F8423D"/>
    <w:rsid w:val="65FA6585"/>
    <w:rsid w:val="65FE7F42"/>
    <w:rsid w:val="65FF1E6C"/>
    <w:rsid w:val="660B3DE6"/>
    <w:rsid w:val="660B5925"/>
    <w:rsid w:val="660D7671"/>
    <w:rsid w:val="66100967"/>
    <w:rsid w:val="6627119C"/>
    <w:rsid w:val="662720D2"/>
    <w:rsid w:val="662A7A0E"/>
    <w:rsid w:val="662F3E9F"/>
    <w:rsid w:val="66312FB6"/>
    <w:rsid w:val="663219D1"/>
    <w:rsid w:val="663955FC"/>
    <w:rsid w:val="663A5586"/>
    <w:rsid w:val="664334EE"/>
    <w:rsid w:val="664E3FE8"/>
    <w:rsid w:val="6653533F"/>
    <w:rsid w:val="66646397"/>
    <w:rsid w:val="66653D48"/>
    <w:rsid w:val="66687B6A"/>
    <w:rsid w:val="666A04BB"/>
    <w:rsid w:val="666B7001"/>
    <w:rsid w:val="666D301C"/>
    <w:rsid w:val="66787D8A"/>
    <w:rsid w:val="668C6D2B"/>
    <w:rsid w:val="668E014F"/>
    <w:rsid w:val="669A1F4A"/>
    <w:rsid w:val="669C06FE"/>
    <w:rsid w:val="669D0FFF"/>
    <w:rsid w:val="66A37B86"/>
    <w:rsid w:val="66A77854"/>
    <w:rsid w:val="66AA4416"/>
    <w:rsid w:val="66B87247"/>
    <w:rsid w:val="66C1139D"/>
    <w:rsid w:val="66C82EFB"/>
    <w:rsid w:val="66C86704"/>
    <w:rsid w:val="66D03707"/>
    <w:rsid w:val="66D12486"/>
    <w:rsid w:val="66D4710B"/>
    <w:rsid w:val="66D87459"/>
    <w:rsid w:val="66D94502"/>
    <w:rsid w:val="66DC1DC6"/>
    <w:rsid w:val="66DC5B3F"/>
    <w:rsid w:val="66DC5FE9"/>
    <w:rsid w:val="66DF50F6"/>
    <w:rsid w:val="66E03F2D"/>
    <w:rsid w:val="66E6099B"/>
    <w:rsid w:val="66F26A60"/>
    <w:rsid w:val="670276DF"/>
    <w:rsid w:val="6703116C"/>
    <w:rsid w:val="67060408"/>
    <w:rsid w:val="670D7BFB"/>
    <w:rsid w:val="67105321"/>
    <w:rsid w:val="67155BC7"/>
    <w:rsid w:val="67296B1B"/>
    <w:rsid w:val="67381AD5"/>
    <w:rsid w:val="673D7A3A"/>
    <w:rsid w:val="674B66AD"/>
    <w:rsid w:val="675112D0"/>
    <w:rsid w:val="675B55F3"/>
    <w:rsid w:val="675E2286"/>
    <w:rsid w:val="67692393"/>
    <w:rsid w:val="676E7F3D"/>
    <w:rsid w:val="67704FAD"/>
    <w:rsid w:val="67740045"/>
    <w:rsid w:val="677A20C1"/>
    <w:rsid w:val="677A520C"/>
    <w:rsid w:val="677A547F"/>
    <w:rsid w:val="677B1748"/>
    <w:rsid w:val="677E4332"/>
    <w:rsid w:val="678070A8"/>
    <w:rsid w:val="67814CA0"/>
    <w:rsid w:val="6781689D"/>
    <w:rsid w:val="67836156"/>
    <w:rsid w:val="67846860"/>
    <w:rsid w:val="678E6700"/>
    <w:rsid w:val="679B40CF"/>
    <w:rsid w:val="67A27CC2"/>
    <w:rsid w:val="67A60B9C"/>
    <w:rsid w:val="67AB06F9"/>
    <w:rsid w:val="67AC30A1"/>
    <w:rsid w:val="67AD0F3F"/>
    <w:rsid w:val="67BC66F9"/>
    <w:rsid w:val="67DA041D"/>
    <w:rsid w:val="67DA6592"/>
    <w:rsid w:val="67DD2E72"/>
    <w:rsid w:val="67E10434"/>
    <w:rsid w:val="67E35CBC"/>
    <w:rsid w:val="67EF30B3"/>
    <w:rsid w:val="67F313FA"/>
    <w:rsid w:val="68061993"/>
    <w:rsid w:val="680D0939"/>
    <w:rsid w:val="68237FD2"/>
    <w:rsid w:val="682D0A6C"/>
    <w:rsid w:val="682F0D1A"/>
    <w:rsid w:val="68394CF3"/>
    <w:rsid w:val="684557CE"/>
    <w:rsid w:val="68466D27"/>
    <w:rsid w:val="684A6E18"/>
    <w:rsid w:val="68527C4A"/>
    <w:rsid w:val="685C36DF"/>
    <w:rsid w:val="686354B0"/>
    <w:rsid w:val="68694E7B"/>
    <w:rsid w:val="686D127F"/>
    <w:rsid w:val="686E60C8"/>
    <w:rsid w:val="686E7A7B"/>
    <w:rsid w:val="687067F6"/>
    <w:rsid w:val="68747A3A"/>
    <w:rsid w:val="68802A41"/>
    <w:rsid w:val="689078F6"/>
    <w:rsid w:val="68912C6E"/>
    <w:rsid w:val="689304A0"/>
    <w:rsid w:val="689D07A2"/>
    <w:rsid w:val="68AF2B87"/>
    <w:rsid w:val="68B20ED3"/>
    <w:rsid w:val="68B90FA1"/>
    <w:rsid w:val="68B93D81"/>
    <w:rsid w:val="68BA16EF"/>
    <w:rsid w:val="68BF219B"/>
    <w:rsid w:val="68C70336"/>
    <w:rsid w:val="68D17DB2"/>
    <w:rsid w:val="68DD5DD6"/>
    <w:rsid w:val="68E3352F"/>
    <w:rsid w:val="68E47B05"/>
    <w:rsid w:val="68E65278"/>
    <w:rsid w:val="68EC04DE"/>
    <w:rsid w:val="68FB3625"/>
    <w:rsid w:val="68FC7FC0"/>
    <w:rsid w:val="68FF4226"/>
    <w:rsid w:val="69022832"/>
    <w:rsid w:val="690578F0"/>
    <w:rsid w:val="69093CAF"/>
    <w:rsid w:val="690B7063"/>
    <w:rsid w:val="690B7520"/>
    <w:rsid w:val="691200AE"/>
    <w:rsid w:val="69152147"/>
    <w:rsid w:val="692E7E6B"/>
    <w:rsid w:val="69317031"/>
    <w:rsid w:val="693A1EA3"/>
    <w:rsid w:val="693E4A79"/>
    <w:rsid w:val="694A5787"/>
    <w:rsid w:val="695373E0"/>
    <w:rsid w:val="696131F9"/>
    <w:rsid w:val="69630248"/>
    <w:rsid w:val="69642235"/>
    <w:rsid w:val="69647D29"/>
    <w:rsid w:val="6966192A"/>
    <w:rsid w:val="69774629"/>
    <w:rsid w:val="697C5B7B"/>
    <w:rsid w:val="697E74B0"/>
    <w:rsid w:val="698D0B45"/>
    <w:rsid w:val="6992357A"/>
    <w:rsid w:val="69AB1271"/>
    <w:rsid w:val="69B03281"/>
    <w:rsid w:val="69B64F85"/>
    <w:rsid w:val="69BA55BE"/>
    <w:rsid w:val="69BB1CEB"/>
    <w:rsid w:val="69C76718"/>
    <w:rsid w:val="69CB47D7"/>
    <w:rsid w:val="69CC74BA"/>
    <w:rsid w:val="69CE01B8"/>
    <w:rsid w:val="69CE56DF"/>
    <w:rsid w:val="69CF00C0"/>
    <w:rsid w:val="69D85016"/>
    <w:rsid w:val="69DA3DA8"/>
    <w:rsid w:val="69DA61FE"/>
    <w:rsid w:val="69DD38E7"/>
    <w:rsid w:val="69E67C99"/>
    <w:rsid w:val="69EA2DBD"/>
    <w:rsid w:val="69ED03AA"/>
    <w:rsid w:val="69EE58FD"/>
    <w:rsid w:val="69F75721"/>
    <w:rsid w:val="6A0456C2"/>
    <w:rsid w:val="6A0A518E"/>
    <w:rsid w:val="6A0B1654"/>
    <w:rsid w:val="6A0C1240"/>
    <w:rsid w:val="6A0E13F3"/>
    <w:rsid w:val="6A220495"/>
    <w:rsid w:val="6A284420"/>
    <w:rsid w:val="6A305C56"/>
    <w:rsid w:val="6A320549"/>
    <w:rsid w:val="6A3C135F"/>
    <w:rsid w:val="6A3D558C"/>
    <w:rsid w:val="6A441179"/>
    <w:rsid w:val="6A470CAC"/>
    <w:rsid w:val="6A477104"/>
    <w:rsid w:val="6A49525E"/>
    <w:rsid w:val="6A4D4C5B"/>
    <w:rsid w:val="6A5318E5"/>
    <w:rsid w:val="6A5E1976"/>
    <w:rsid w:val="6A6D40BC"/>
    <w:rsid w:val="6A7718D3"/>
    <w:rsid w:val="6A817C93"/>
    <w:rsid w:val="6A83685F"/>
    <w:rsid w:val="6A871F0C"/>
    <w:rsid w:val="6A871F42"/>
    <w:rsid w:val="6A877F85"/>
    <w:rsid w:val="6A89533F"/>
    <w:rsid w:val="6A90546D"/>
    <w:rsid w:val="6A944EDC"/>
    <w:rsid w:val="6AA320BF"/>
    <w:rsid w:val="6AA941ED"/>
    <w:rsid w:val="6AB03DD7"/>
    <w:rsid w:val="6AB5211E"/>
    <w:rsid w:val="6ABF0E6A"/>
    <w:rsid w:val="6AC774B9"/>
    <w:rsid w:val="6AC92B68"/>
    <w:rsid w:val="6ACE1E75"/>
    <w:rsid w:val="6AD06207"/>
    <w:rsid w:val="6AD97F5A"/>
    <w:rsid w:val="6AEE2FDC"/>
    <w:rsid w:val="6AF42FD3"/>
    <w:rsid w:val="6AF50E98"/>
    <w:rsid w:val="6B037194"/>
    <w:rsid w:val="6B05038A"/>
    <w:rsid w:val="6B242712"/>
    <w:rsid w:val="6B2A3E4F"/>
    <w:rsid w:val="6B2B66DF"/>
    <w:rsid w:val="6B2C321E"/>
    <w:rsid w:val="6B321CB0"/>
    <w:rsid w:val="6B3C4311"/>
    <w:rsid w:val="6B4A1BD3"/>
    <w:rsid w:val="6B5F4D5D"/>
    <w:rsid w:val="6B63047C"/>
    <w:rsid w:val="6B656219"/>
    <w:rsid w:val="6B6B2369"/>
    <w:rsid w:val="6B776695"/>
    <w:rsid w:val="6B8375B6"/>
    <w:rsid w:val="6B8829BB"/>
    <w:rsid w:val="6B895A27"/>
    <w:rsid w:val="6B8A0EE1"/>
    <w:rsid w:val="6B9A59AF"/>
    <w:rsid w:val="6B9D54CB"/>
    <w:rsid w:val="6BA076F0"/>
    <w:rsid w:val="6BA373BC"/>
    <w:rsid w:val="6BAD7FAD"/>
    <w:rsid w:val="6BAF081D"/>
    <w:rsid w:val="6BB42748"/>
    <w:rsid w:val="6BBB2B0A"/>
    <w:rsid w:val="6BC12E9F"/>
    <w:rsid w:val="6BC3763E"/>
    <w:rsid w:val="6BC568DE"/>
    <w:rsid w:val="6BCA00F3"/>
    <w:rsid w:val="6BD2215A"/>
    <w:rsid w:val="6BD563C1"/>
    <w:rsid w:val="6BD825EB"/>
    <w:rsid w:val="6BDA756C"/>
    <w:rsid w:val="6BDB0DC9"/>
    <w:rsid w:val="6BDC6711"/>
    <w:rsid w:val="6BDD2514"/>
    <w:rsid w:val="6BE317ED"/>
    <w:rsid w:val="6BE62E60"/>
    <w:rsid w:val="6BEB340B"/>
    <w:rsid w:val="6BF74D08"/>
    <w:rsid w:val="6BF8288C"/>
    <w:rsid w:val="6BFE0F82"/>
    <w:rsid w:val="6BFE3A18"/>
    <w:rsid w:val="6BFF36AF"/>
    <w:rsid w:val="6C0A7926"/>
    <w:rsid w:val="6C144674"/>
    <w:rsid w:val="6C163E7A"/>
    <w:rsid w:val="6C173279"/>
    <w:rsid w:val="6C185E54"/>
    <w:rsid w:val="6C266100"/>
    <w:rsid w:val="6C2A325F"/>
    <w:rsid w:val="6C2C7131"/>
    <w:rsid w:val="6C2D1579"/>
    <w:rsid w:val="6C2E38EE"/>
    <w:rsid w:val="6C3252B7"/>
    <w:rsid w:val="6C3811AE"/>
    <w:rsid w:val="6C407BBB"/>
    <w:rsid w:val="6C4240F9"/>
    <w:rsid w:val="6C4B13A2"/>
    <w:rsid w:val="6C4E6FC1"/>
    <w:rsid w:val="6C4F4650"/>
    <w:rsid w:val="6C5164C2"/>
    <w:rsid w:val="6C51775B"/>
    <w:rsid w:val="6C520EAB"/>
    <w:rsid w:val="6C530C10"/>
    <w:rsid w:val="6C561C66"/>
    <w:rsid w:val="6C576A17"/>
    <w:rsid w:val="6C602F3C"/>
    <w:rsid w:val="6C647BD2"/>
    <w:rsid w:val="6C6E6E7F"/>
    <w:rsid w:val="6C752566"/>
    <w:rsid w:val="6C774EA5"/>
    <w:rsid w:val="6C77611C"/>
    <w:rsid w:val="6C782D13"/>
    <w:rsid w:val="6C7A1CE6"/>
    <w:rsid w:val="6C7D1340"/>
    <w:rsid w:val="6C8A7F22"/>
    <w:rsid w:val="6C8C6697"/>
    <w:rsid w:val="6C8E2466"/>
    <w:rsid w:val="6C920A95"/>
    <w:rsid w:val="6C995287"/>
    <w:rsid w:val="6C9D26A9"/>
    <w:rsid w:val="6CA21EAA"/>
    <w:rsid w:val="6CA62BCF"/>
    <w:rsid w:val="6CAC2E15"/>
    <w:rsid w:val="6CB13E81"/>
    <w:rsid w:val="6CB338B3"/>
    <w:rsid w:val="6CB561E6"/>
    <w:rsid w:val="6CBC16C5"/>
    <w:rsid w:val="6CBF0233"/>
    <w:rsid w:val="6CC02E2E"/>
    <w:rsid w:val="6CC17618"/>
    <w:rsid w:val="6CC34B10"/>
    <w:rsid w:val="6CD04B41"/>
    <w:rsid w:val="6CD96E67"/>
    <w:rsid w:val="6CDC2D7F"/>
    <w:rsid w:val="6CDD0A3D"/>
    <w:rsid w:val="6CE27AF9"/>
    <w:rsid w:val="6CE30221"/>
    <w:rsid w:val="6CEC7AAB"/>
    <w:rsid w:val="6CF83B19"/>
    <w:rsid w:val="6D001895"/>
    <w:rsid w:val="6D0269B0"/>
    <w:rsid w:val="6D061516"/>
    <w:rsid w:val="6D084CF2"/>
    <w:rsid w:val="6D1B4843"/>
    <w:rsid w:val="6D1C06E9"/>
    <w:rsid w:val="6D1C083E"/>
    <w:rsid w:val="6D1F63B8"/>
    <w:rsid w:val="6D242CB5"/>
    <w:rsid w:val="6D324CAD"/>
    <w:rsid w:val="6D347EA9"/>
    <w:rsid w:val="6D3A1767"/>
    <w:rsid w:val="6D3B587B"/>
    <w:rsid w:val="6D563923"/>
    <w:rsid w:val="6D594AFC"/>
    <w:rsid w:val="6D5B1838"/>
    <w:rsid w:val="6D5B4695"/>
    <w:rsid w:val="6D5E256C"/>
    <w:rsid w:val="6D62444F"/>
    <w:rsid w:val="6D696D90"/>
    <w:rsid w:val="6D7F25C1"/>
    <w:rsid w:val="6D83251E"/>
    <w:rsid w:val="6D9A6A75"/>
    <w:rsid w:val="6D9F3DD8"/>
    <w:rsid w:val="6DA36A5D"/>
    <w:rsid w:val="6DBB120B"/>
    <w:rsid w:val="6DBE1A43"/>
    <w:rsid w:val="6DCC5ABE"/>
    <w:rsid w:val="6DCF476F"/>
    <w:rsid w:val="6DCF6B61"/>
    <w:rsid w:val="6DD2377C"/>
    <w:rsid w:val="6DE80006"/>
    <w:rsid w:val="6DE8775F"/>
    <w:rsid w:val="6DF04651"/>
    <w:rsid w:val="6DF37E0D"/>
    <w:rsid w:val="6DF825E5"/>
    <w:rsid w:val="6E010E59"/>
    <w:rsid w:val="6E037B96"/>
    <w:rsid w:val="6E066A6C"/>
    <w:rsid w:val="6E0D3650"/>
    <w:rsid w:val="6E193D66"/>
    <w:rsid w:val="6E242651"/>
    <w:rsid w:val="6E261003"/>
    <w:rsid w:val="6E267563"/>
    <w:rsid w:val="6E282CF9"/>
    <w:rsid w:val="6E2D2C94"/>
    <w:rsid w:val="6E3760BB"/>
    <w:rsid w:val="6E453A45"/>
    <w:rsid w:val="6E461B04"/>
    <w:rsid w:val="6E582A2C"/>
    <w:rsid w:val="6E5C40A5"/>
    <w:rsid w:val="6E5E5637"/>
    <w:rsid w:val="6E6011F9"/>
    <w:rsid w:val="6E605CAD"/>
    <w:rsid w:val="6E673F92"/>
    <w:rsid w:val="6E6B3471"/>
    <w:rsid w:val="6E6E1524"/>
    <w:rsid w:val="6E742363"/>
    <w:rsid w:val="6E79723B"/>
    <w:rsid w:val="6E7E2890"/>
    <w:rsid w:val="6E825693"/>
    <w:rsid w:val="6E83620B"/>
    <w:rsid w:val="6EA04EEC"/>
    <w:rsid w:val="6EA13BFA"/>
    <w:rsid w:val="6EA143DF"/>
    <w:rsid w:val="6EA76420"/>
    <w:rsid w:val="6EAC3BBA"/>
    <w:rsid w:val="6EC15B86"/>
    <w:rsid w:val="6EC27990"/>
    <w:rsid w:val="6EC30BAF"/>
    <w:rsid w:val="6EC3664E"/>
    <w:rsid w:val="6EC543D7"/>
    <w:rsid w:val="6EC93A81"/>
    <w:rsid w:val="6ECC2114"/>
    <w:rsid w:val="6EE54ACA"/>
    <w:rsid w:val="6EF7073F"/>
    <w:rsid w:val="6EFF229C"/>
    <w:rsid w:val="6F005E6B"/>
    <w:rsid w:val="6F087740"/>
    <w:rsid w:val="6F1A2251"/>
    <w:rsid w:val="6F20442D"/>
    <w:rsid w:val="6F2133AB"/>
    <w:rsid w:val="6F237A05"/>
    <w:rsid w:val="6F2A675D"/>
    <w:rsid w:val="6F345466"/>
    <w:rsid w:val="6F3C122C"/>
    <w:rsid w:val="6F5300D9"/>
    <w:rsid w:val="6F5469B6"/>
    <w:rsid w:val="6F58481A"/>
    <w:rsid w:val="6F6C6E54"/>
    <w:rsid w:val="6F757788"/>
    <w:rsid w:val="6F844DBC"/>
    <w:rsid w:val="6F8715EB"/>
    <w:rsid w:val="6F8725F7"/>
    <w:rsid w:val="6F8C1686"/>
    <w:rsid w:val="6F910AD6"/>
    <w:rsid w:val="6F945334"/>
    <w:rsid w:val="6F987FFD"/>
    <w:rsid w:val="6F9F666F"/>
    <w:rsid w:val="6FB04CCE"/>
    <w:rsid w:val="6FBD6232"/>
    <w:rsid w:val="6FC01F8F"/>
    <w:rsid w:val="6FCE5CBB"/>
    <w:rsid w:val="6FD83206"/>
    <w:rsid w:val="6FDC1942"/>
    <w:rsid w:val="6FE06C43"/>
    <w:rsid w:val="6FE20202"/>
    <w:rsid w:val="6FE43F79"/>
    <w:rsid w:val="6FE9286B"/>
    <w:rsid w:val="6FEC283D"/>
    <w:rsid w:val="6FF12F5F"/>
    <w:rsid w:val="6FF93153"/>
    <w:rsid w:val="6FFA2C08"/>
    <w:rsid w:val="70032654"/>
    <w:rsid w:val="70087690"/>
    <w:rsid w:val="700C21C5"/>
    <w:rsid w:val="70165A1F"/>
    <w:rsid w:val="702A275D"/>
    <w:rsid w:val="70322E63"/>
    <w:rsid w:val="7032324F"/>
    <w:rsid w:val="70330DD9"/>
    <w:rsid w:val="703D65DA"/>
    <w:rsid w:val="703F5BF3"/>
    <w:rsid w:val="70431857"/>
    <w:rsid w:val="704C260E"/>
    <w:rsid w:val="70543CE2"/>
    <w:rsid w:val="70561F0A"/>
    <w:rsid w:val="705E7EB1"/>
    <w:rsid w:val="706458F5"/>
    <w:rsid w:val="707675BB"/>
    <w:rsid w:val="708227A9"/>
    <w:rsid w:val="7086436B"/>
    <w:rsid w:val="708E13E1"/>
    <w:rsid w:val="70934D6B"/>
    <w:rsid w:val="7099571F"/>
    <w:rsid w:val="709D2DEC"/>
    <w:rsid w:val="709D756E"/>
    <w:rsid w:val="709F20B3"/>
    <w:rsid w:val="70A01767"/>
    <w:rsid w:val="70AA46DF"/>
    <w:rsid w:val="70B05B00"/>
    <w:rsid w:val="70B644B1"/>
    <w:rsid w:val="70B82FD3"/>
    <w:rsid w:val="70B95679"/>
    <w:rsid w:val="70BA6222"/>
    <w:rsid w:val="70BD3380"/>
    <w:rsid w:val="70C05F84"/>
    <w:rsid w:val="70C161EB"/>
    <w:rsid w:val="70C224AB"/>
    <w:rsid w:val="70C37DDF"/>
    <w:rsid w:val="70C432B4"/>
    <w:rsid w:val="70CC28E1"/>
    <w:rsid w:val="70CF4244"/>
    <w:rsid w:val="70D23391"/>
    <w:rsid w:val="70D676F5"/>
    <w:rsid w:val="70D72CFE"/>
    <w:rsid w:val="70DF7ED0"/>
    <w:rsid w:val="70EC65A4"/>
    <w:rsid w:val="70F82D59"/>
    <w:rsid w:val="70FE336D"/>
    <w:rsid w:val="71027EBD"/>
    <w:rsid w:val="710515F9"/>
    <w:rsid w:val="71155AEC"/>
    <w:rsid w:val="711606F7"/>
    <w:rsid w:val="712532FF"/>
    <w:rsid w:val="71275730"/>
    <w:rsid w:val="712B3396"/>
    <w:rsid w:val="713043DC"/>
    <w:rsid w:val="7136359B"/>
    <w:rsid w:val="713929FF"/>
    <w:rsid w:val="713A259D"/>
    <w:rsid w:val="713F108F"/>
    <w:rsid w:val="71414CF0"/>
    <w:rsid w:val="714B6983"/>
    <w:rsid w:val="714E0005"/>
    <w:rsid w:val="714F1722"/>
    <w:rsid w:val="715D1FB3"/>
    <w:rsid w:val="71614EDC"/>
    <w:rsid w:val="716760E6"/>
    <w:rsid w:val="7169599C"/>
    <w:rsid w:val="7175261E"/>
    <w:rsid w:val="7181610E"/>
    <w:rsid w:val="71816D21"/>
    <w:rsid w:val="71854F78"/>
    <w:rsid w:val="71964C59"/>
    <w:rsid w:val="719811F7"/>
    <w:rsid w:val="7198256C"/>
    <w:rsid w:val="719C7B18"/>
    <w:rsid w:val="719D1D20"/>
    <w:rsid w:val="719E7939"/>
    <w:rsid w:val="719F29FB"/>
    <w:rsid w:val="71A64AFF"/>
    <w:rsid w:val="71AA7945"/>
    <w:rsid w:val="71B10A20"/>
    <w:rsid w:val="71BB5741"/>
    <w:rsid w:val="71C10002"/>
    <w:rsid w:val="71C27B97"/>
    <w:rsid w:val="71C30E32"/>
    <w:rsid w:val="71C43092"/>
    <w:rsid w:val="71C66D01"/>
    <w:rsid w:val="71CE7B26"/>
    <w:rsid w:val="71E02D3A"/>
    <w:rsid w:val="71E32057"/>
    <w:rsid w:val="71E40739"/>
    <w:rsid w:val="71EB7849"/>
    <w:rsid w:val="71F24FB3"/>
    <w:rsid w:val="71F52906"/>
    <w:rsid w:val="720364BC"/>
    <w:rsid w:val="720D1F2F"/>
    <w:rsid w:val="720E28CF"/>
    <w:rsid w:val="721C7833"/>
    <w:rsid w:val="72231CA7"/>
    <w:rsid w:val="72245356"/>
    <w:rsid w:val="72256327"/>
    <w:rsid w:val="723A2FAE"/>
    <w:rsid w:val="72476FC9"/>
    <w:rsid w:val="724A0DB7"/>
    <w:rsid w:val="725F3FC5"/>
    <w:rsid w:val="726D6FD7"/>
    <w:rsid w:val="7274175D"/>
    <w:rsid w:val="727D4077"/>
    <w:rsid w:val="72863AA7"/>
    <w:rsid w:val="728F7ACD"/>
    <w:rsid w:val="72943159"/>
    <w:rsid w:val="72953AF1"/>
    <w:rsid w:val="72971D67"/>
    <w:rsid w:val="72A51ACA"/>
    <w:rsid w:val="72A86060"/>
    <w:rsid w:val="72AC3063"/>
    <w:rsid w:val="72AF28A7"/>
    <w:rsid w:val="72AF5494"/>
    <w:rsid w:val="72B20521"/>
    <w:rsid w:val="72B42B0B"/>
    <w:rsid w:val="72B53D34"/>
    <w:rsid w:val="72B80B69"/>
    <w:rsid w:val="72BA7F87"/>
    <w:rsid w:val="72BB7BCC"/>
    <w:rsid w:val="72C32414"/>
    <w:rsid w:val="72C400B2"/>
    <w:rsid w:val="72C4162D"/>
    <w:rsid w:val="72C805DB"/>
    <w:rsid w:val="72C97191"/>
    <w:rsid w:val="72D21A88"/>
    <w:rsid w:val="72DC7380"/>
    <w:rsid w:val="72DE30C9"/>
    <w:rsid w:val="72E328D4"/>
    <w:rsid w:val="72E43F2E"/>
    <w:rsid w:val="72F124C3"/>
    <w:rsid w:val="72F2109D"/>
    <w:rsid w:val="72F72AC0"/>
    <w:rsid w:val="73150018"/>
    <w:rsid w:val="73150AFC"/>
    <w:rsid w:val="731F0AA8"/>
    <w:rsid w:val="731F472C"/>
    <w:rsid w:val="73225980"/>
    <w:rsid w:val="732820FD"/>
    <w:rsid w:val="73340C51"/>
    <w:rsid w:val="733A7FE1"/>
    <w:rsid w:val="734C1455"/>
    <w:rsid w:val="734C70EE"/>
    <w:rsid w:val="734D142F"/>
    <w:rsid w:val="73515805"/>
    <w:rsid w:val="73573E91"/>
    <w:rsid w:val="73594EEF"/>
    <w:rsid w:val="735A4CBC"/>
    <w:rsid w:val="73634DA1"/>
    <w:rsid w:val="73691C33"/>
    <w:rsid w:val="7372228E"/>
    <w:rsid w:val="7373536B"/>
    <w:rsid w:val="73770563"/>
    <w:rsid w:val="73795531"/>
    <w:rsid w:val="737D37CC"/>
    <w:rsid w:val="73855D77"/>
    <w:rsid w:val="73880A33"/>
    <w:rsid w:val="738A1640"/>
    <w:rsid w:val="738A1837"/>
    <w:rsid w:val="738C4998"/>
    <w:rsid w:val="739051CC"/>
    <w:rsid w:val="739927FB"/>
    <w:rsid w:val="73A23D3A"/>
    <w:rsid w:val="73A24FAD"/>
    <w:rsid w:val="73A51EE2"/>
    <w:rsid w:val="73AA47FB"/>
    <w:rsid w:val="73AD7669"/>
    <w:rsid w:val="73AF1DC1"/>
    <w:rsid w:val="73B04BCD"/>
    <w:rsid w:val="73B65D64"/>
    <w:rsid w:val="73B74401"/>
    <w:rsid w:val="73B80562"/>
    <w:rsid w:val="73BC2AB0"/>
    <w:rsid w:val="73BC476F"/>
    <w:rsid w:val="73D14BBF"/>
    <w:rsid w:val="73D934DE"/>
    <w:rsid w:val="73DB0C0A"/>
    <w:rsid w:val="73E26224"/>
    <w:rsid w:val="73E26FB6"/>
    <w:rsid w:val="73EC4687"/>
    <w:rsid w:val="73F73481"/>
    <w:rsid w:val="73F96A3B"/>
    <w:rsid w:val="73FD0584"/>
    <w:rsid w:val="740F26E9"/>
    <w:rsid w:val="74104EB2"/>
    <w:rsid w:val="74126BC0"/>
    <w:rsid w:val="74150779"/>
    <w:rsid w:val="741F34C6"/>
    <w:rsid w:val="74266D5E"/>
    <w:rsid w:val="74273790"/>
    <w:rsid w:val="743304F6"/>
    <w:rsid w:val="743C233A"/>
    <w:rsid w:val="743D0E94"/>
    <w:rsid w:val="743F310C"/>
    <w:rsid w:val="74432E49"/>
    <w:rsid w:val="744347A4"/>
    <w:rsid w:val="74466428"/>
    <w:rsid w:val="74494C94"/>
    <w:rsid w:val="74495482"/>
    <w:rsid w:val="744D309E"/>
    <w:rsid w:val="74520322"/>
    <w:rsid w:val="74591142"/>
    <w:rsid w:val="745C0418"/>
    <w:rsid w:val="745C1017"/>
    <w:rsid w:val="745C2583"/>
    <w:rsid w:val="746022ED"/>
    <w:rsid w:val="746166C8"/>
    <w:rsid w:val="747A49D3"/>
    <w:rsid w:val="747B47C1"/>
    <w:rsid w:val="747B6FB9"/>
    <w:rsid w:val="7482415F"/>
    <w:rsid w:val="748969B2"/>
    <w:rsid w:val="7492222E"/>
    <w:rsid w:val="749C6BDB"/>
    <w:rsid w:val="749F4C63"/>
    <w:rsid w:val="74A76C06"/>
    <w:rsid w:val="74C11875"/>
    <w:rsid w:val="74C177D1"/>
    <w:rsid w:val="74C74622"/>
    <w:rsid w:val="74D329FB"/>
    <w:rsid w:val="74D57736"/>
    <w:rsid w:val="74D7200A"/>
    <w:rsid w:val="74D76582"/>
    <w:rsid w:val="74E30911"/>
    <w:rsid w:val="74E41769"/>
    <w:rsid w:val="74E750F1"/>
    <w:rsid w:val="74EE03E0"/>
    <w:rsid w:val="74F219DB"/>
    <w:rsid w:val="74F37436"/>
    <w:rsid w:val="74F856DB"/>
    <w:rsid w:val="74FA0A16"/>
    <w:rsid w:val="74FD6AF9"/>
    <w:rsid w:val="750053AF"/>
    <w:rsid w:val="750704ED"/>
    <w:rsid w:val="75097B16"/>
    <w:rsid w:val="750C6A6D"/>
    <w:rsid w:val="7514582F"/>
    <w:rsid w:val="751731ED"/>
    <w:rsid w:val="75175511"/>
    <w:rsid w:val="751F23F8"/>
    <w:rsid w:val="75207767"/>
    <w:rsid w:val="752A673E"/>
    <w:rsid w:val="752D65E2"/>
    <w:rsid w:val="75360FB0"/>
    <w:rsid w:val="753C2A26"/>
    <w:rsid w:val="753F0EC9"/>
    <w:rsid w:val="75411BFF"/>
    <w:rsid w:val="7542237B"/>
    <w:rsid w:val="754B359F"/>
    <w:rsid w:val="75530E51"/>
    <w:rsid w:val="755334CE"/>
    <w:rsid w:val="755F52D0"/>
    <w:rsid w:val="756B281C"/>
    <w:rsid w:val="756C77A6"/>
    <w:rsid w:val="756F644C"/>
    <w:rsid w:val="757956AE"/>
    <w:rsid w:val="757D1149"/>
    <w:rsid w:val="75877662"/>
    <w:rsid w:val="75905815"/>
    <w:rsid w:val="75971833"/>
    <w:rsid w:val="75AC0D2B"/>
    <w:rsid w:val="75B2655C"/>
    <w:rsid w:val="75B66339"/>
    <w:rsid w:val="75BC08E5"/>
    <w:rsid w:val="75C24F30"/>
    <w:rsid w:val="75C97A4F"/>
    <w:rsid w:val="75CA6FC2"/>
    <w:rsid w:val="75D0102D"/>
    <w:rsid w:val="75D54AA5"/>
    <w:rsid w:val="75D72FE8"/>
    <w:rsid w:val="75D9071B"/>
    <w:rsid w:val="75DA0B91"/>
    <w:rsid w:val="75DD11C7"/>
    <w:rsid w:val="75E4324C"/>
    <w:rsid w:val="75FD2E26"/>
    <w:rsid w:val="75FE1C7F"/>
    <w:rsid w:val="7608238C"/>
    <w:rsid w:val="76094850"/>
    <w:rsid w:val="760B4156"/>
    <w:rsid w:val="760B7B05"/>
    <w:rsid w:val="760D6065"/>
    <w:rsid w:val="760D6311"/>
    <w:rsid w:val="76133266"/>
    <w:rsid w:val="76146140"/>
    <w:rsid w:val="761E11E9"/>
    <w:rsid w:val="762773F9"/>
    <w:rsid w:val="762A6911"/>
    <w:rsid w:val="762B2034"/>
    <w:rsid w:val="762B7BC5"/>
    <w:rsid w:val="762D7A78"/>
    <w:rsid w:val="762E37CF"/>
    <w:rsid w:val="76370767"/>
    <w:rsid w:val="76386FA7"/>
    <w:rsid w:val="763B05AA"/>
    <w:rsid w:val="763E051E"/>
    <w:rsid w:val="764A13AC"/>
    <w:rsid w:val="76504B2A"/>
    <w:rsid w:val="76515480"/>
    <w:rsid w:val="76574C18"/>
    <w:rsid w:val="76577E25"/>
    <w:rsid w:val="7662223A"/>
    <w:rsid w:val="766230F1"/>
    <w:rsid w:val="76697971"/>
    <w:rsid w:val="76742690"/>
    <w:rsid w:val="767A6AA8"/>
    <w:rsid w:val="767D65DB"/>
    <w:rsid w:val="76884579"/>
    <w:rsid w:val="768D6682"/>
    <w:rsid w:val="7697620C"/>
    <w:rsid w:val="76990ED1"/>
    <w:rsid w:val="769B21E7"/>
    <w:rsid w:val="76AD0C6B"/>
    <w:rsid w:val="76B06C4E"/>
    <w:rsid w:val="76C34E0E"/>
    <w:rsid w:val="76C81D35"/>
    <w:rsid w:val="76CB270C"/>
    <w:rsid w:val="76D64DBB"/>
    <w:rsid w:val="76E00191"/>
    <w:rsid w:val="76ED2800"/>
    <w:rsid w:val="76F529B8"/>
    <w:rsid w:val="770E3161"/>
    <w:rsid w:val="773310E3"/>
    <w:rsid w:val="77344E9D"/>
    <w:rsid w:val="77493922"/>
    <w:rsid w:val="77511B2F"/>
    <w:rsid w:val="77545759"/>
    <w:rsid w:val="775C652E"/>
    <w:rsid w:val="775D1E86"/>
    <w:rsid w:val="775E6C46"/>
    <w:rsid w:val="77674E00"/>
    <w:rsid w:val="776B358A"/>
    <w:rsid w:val="77732A69"/>
    <w:rsid w:val="777379AB"/>
    <w:rsid w:val="777929C9"/>
    <w:rsid w:val="777934D0"/>
    <w:rsid w:val="778545A4"/>
    <w:rsid w:val="77880A07"/>
    <w:rsid w:val="77880CD0"/>
    <w:rsid w:val="77885880"/>
    <w:rsid w:val="778D382F"/>
    <w:rsid w:val="779043E2"/>
    <w:rsid w:val="779150B9"/>
    <w:rsid w:val="77981D0C"/>
    <w:rsid w:val="77992335"/>
    <w:rsid w:val="779D7FD8"/>
    <w:rsid w:val="77A67511"/>
    <w:rsid w:val="77B203F2"/>
    <w:rsid w:val="77B34168"/>
    <w:rsid w:val="77B853CE"/>
    <w:rsid w:val="77BE1E71"/>
    <w:rsid w:val="77C36C3C"/>
    <w:rsid w:val="77C947D0"/>
    <w:rsid w:val="77CA1EBC"/>
    <w:rsid w:val="77CB0788"/>
    <w:rsid w:val="77D24250"/>
    <w:rsid w:val="77D42406"/>
    <w:rsid w:val="77DB6F08"/>
    <w:rsid w:val="77DF0EAD"/>
    <w:rsid w:val="77ED050F"/>
    <w:rsid w:val="77F35A3B"/>
    <w:rsid w:val="77FC45E3"/>
    <w:rsid w:val="78067BF4"/>
    <w:rsid w:val="780D49C2"/>
    <w:rsid w:val="78102276"/>
    <w:rsid w:val="78164B46"/>
    <w:rsid w:val="781B6834"/>
    <w:rsid w:val="78263297"/>
    <w:rsid w:val="7832524F"/>
    <w:rsid w:val="784D556E"/>
    <w:rsid w:val="784E76DC"/>
    <w:rsid w:val="784F6C6D"/>
    <w:rsid w:val="786A010A"/>
    <w:rsid w:val="786B4485"/>
    <w:rsid w:val="787207CE"/>
    <w:rsid w:val="7878605C"/>
    <w:rsid w:val="78790DD8"/>
    <w:rsid w:val="787C42DD"/>
    <w:rsid w:val="78881919"/>
    <w:rsid w:val="788A5451"/>
    <w:rsid w:val="78970B5C"/>
    <w:rsid w:val="789B65F7"/>
    <w:rsid w:val="789D4FA3"/>
    <w:rsid w:val="78A06391"/>
    <w:rsid w:val="78A31051"/>
    <w:rsid w:val="78A504C8"/>
    <w:rsid w:val="78A531FA"/>
    <w:rsid w:val="78B13B0E"/>
    <w:rsid w:val="78B8775D"/>
    <w:rsid w:val="78C84750"/>
    <w:rsid w:val="78CC045C"/>
    <w:rsid w:val="78CC1BBB"/>
    <w:rsid w:val="78D63FA4"/>
    <w:rsid w:val="78DA2088"/>
    <w:rsid w:val="78DC3DC2"/>
    <w:rsid w:val="78DF77D5"/>
    <w:rsid w:val="78E656E7"/>
    <w:rsid w:val="78E75646"/>
    <w:rsid w:val="78EB5EFD"/>
    <w:rsid w:val="78ED5FD0"/>
    <w:rsid w:val="78F43600"/>
    <w:rsid w:val="78F8672E"/>
    <w:rsid w:val="78FC3171"/>
    <w:rsid w:val="79062161"/>
    <w:rsid w:val="790F252D"/>
    <w:rsid w:val="7915037B"/>
    <w:rsid w:val="79162D4D"/>
    <w:rsid w:val="792A71B0"/>
    <w:rsid w:val="792D38DD"/>
    <w:rsid w:val="793264AD"/>
    <w:rsid w:val="793C27D0"/>
    <w:rsid w:val="793F50FD"/>
    <w:rsid w:val="79441AD8"/>
    <w:rsid w:val="79457AEC"/>
    <w:rsid w:val="79481F08"/>
    <w:rsid w:val="79496D88"/>
    <w:rsid w:val="794C1DA6"/>
    <w:rsid w:val="795165F5"/>
    <w:rsid w:val="7958705D"/>
    <w:rsid w:val="795874B4"/>
    <w:rsid w:val="795A0A1C"/>
    <w:rsid w:val="795A748D"/>
    <w:rsid w:val="795F2BDC"/>
    <w:rsid w:val="7961710C"/>
    <w:rsid w:val="796226B7"/>
    <w:rsid w:val="796353FD"/>
    <w:rsid w:val="79677BB8"/>
    <w:rsid w:val="796C2588"/>
    <w:rsid w:val="796E440F"/>
    <w:rsid w:val="79721E6F"/>
    <w:rsid w:val="79724F7D"/>
    <w:rsid w:val="7983035D"/>
    <w:rsid w:val="798736BF"/>
    <w:rsid w:val="798813F5"/>
    <w:rsid w:val="798D7A55"/>
    <w:rsid w:val="799747B9"/>
    <w:rsid w:val="799C5797"/>
    <w:rsid w:val="79A0233B"/>
    <w:rsid w:val="79A156EC"/>
    <w:rsid w:val="79AB5F9C"/>
    <w:rsid w:val="79AE532D"/>
    <w:rsid w:val="79AF1CE3"/>
    <w:rsid w:val="79B44348"/>
    <w:rsid w:val="79B54A1C"/>
    <w:rsid w:val="79B95BC9"/>
    <w:rsid w:val="79C32FEF"/>
    <w:rsid w:val="79C379F9"/>
    <w:rsid w:val="79D30053"/>
    <w:rsid w:val="79DD4E28"/>
    <w:rsid w:val="79DE7C8F"/>
    <w:rsid w:val="79E11BB0"/>
    <w:rsid w:val="79E36BB6"/>
    <w:rsid w:val="79E52441"/>
    <w:rsid w:val="79ED046B"/>
    <w:rsid w:val="79F27898"/>
    <w:rsid w:val="79F44E1F"/>
    <w:rsid w:val="7A042CD9"/>
    <w:rsid w:val="7A050E0B"/>
    <w:rsid w:val="7A0516E2"/>
    <w:rsid w:val="7A13345A"/>
    <w:rsid w:val="7A136E37"/>
    <w:rsid w:val="7A2013FC"/>
    <w:rsid w:val="7A215327"/>
    <w:rsid w:val="7A293534"/>
    <w:rsid w:val="7A314E83"/>
    <w:rsid w:val="7A33557C"/>
    <w:rsid w:val="7A356A32"/>
    <w:rsid w:val="7A3643BA"/>
    <w:rsid w:val="7A371718"/>
    <w:rsid w:val="7A380C3F"/>
    <w:rsid w:val="7A3B7287"/>
    <w:rsid w:val="7A495610"/>
    <w:rsid w:val="7A4C0DA0"/>
    <w:rsid w:val="7A576A80"/>
    <w:rsid w:val="7A5C7ABE"/>
    <w:rsid w:val="7A601CB0"/>
    <w:rsid w:val="7A671E2B"/>
    <w:rsid w:val="7A6840CE"/>
    <w:rsid w:val="7A7F4BEA"/>
    <w:rsid w:val="7A894151"/>
    <w:rsid w:val="7A975B0F"/>
    <w:rsid w:val="7AA13499"/>
    <w:rsid w:val="7AA3019F"/>
    <w:rsid w:val="7AA9318C"/>
    <w:rsid w:val="7AB979C0"/>
    <w:rsid w:val="7ABD6E5B"/>
    <w:rsid w:val="7AC0723D"/>
    <w:rsid w:val="7AC0753C"/>
    <w:rsid w:val="7AC330B7"/>
    <w:rsid w:val="7ACC2256"/>
    <w:rsid w:val="7ACE7B72"/>
    <w:rsid w:val="7ADA627D"/>
    <w:rsid w:val="7ADB19DB"/>
    <w:rsid w:val="7ADC193F"/>
    <w:rsid w:val="7AE832A5"/>
    <w:rsid w:val="7AF26AFD"/>
    <w:rsid w:val="7B036EB4"/>
    <w:rsid w:val="7B04326A"/>
    <w:rsid w:val="7B0D3C52"/>
    <w:rsid w:val="7B104866"/>
    <w:rsid w:val="7B1810CF"/>
    <w:rsid w:val="7B2A6F49"/>
    <w:rsid w:val="7B2C61C2"/>
    <w:rsid w:val="7B2E353D"/>
    <w:rsid w:val="7B334754"/>
    <w:rsid w:val="7B390BF2"/>
    <w:rsid w:val="7B3958D8"/>
    <w:rsid w:val="7B3E48CE"/>
    <w:rsid w:val="7B4162C7"/>
    <w:rsid w:val="7B4C7AD1"/>
    <w:rsid w:val="7B4E202E"/>
    <w:rsid w:val="7B500604"/>
    <w:rsid w:val="7B534E2D"/>
    <w:rsid w:val="7B566948"/>
    <w:rsid w:val="7B664EBA"/>
    <w:rsid w:val="7B683189"/>
    <w:rsid w:val="7B6A1815"/>
    <w:rsid w:val="7B720C3F"/>
    <w:rsid w:val="7B794213"/>
    <w:rsid w:val="7B7B1B1C"/>
    <w:rsid w:val="7B80028F"/>
    <w:rsid w:val="7B910339"/>
    <w:rsid w:val="7B9608A6"/>
    <w:rsid w:val="7B98535A"/>
    <w:rsid w:val="7BAA5C6C"/>
    <w:rsid w:val="7BAE48FC"/>
    <w:rsid w:val="7BB267FD"/>
    <w:rsid w:val="7BB47794"/>
    <w:rsid w:val="7BB83DF8"/>
    <w:rsid w:val="7BBA2E35"/>
    <w:rsid w:val="7BBC4CEB"/>
    <w:rsid w:val="7BBD6668"/>
    <w:rsid w:val="7BC00135"/>
    <w:rsid w:val="7BC4644F"/>
    <w:rsid w:val="7BC678CD"/>
    <w:rsid w:val="7BC76B4E"/>
    <w:rsid w:val="7BCC163B"/>
    <w:rsid w:val="7BD015C9"/>
    <w:rsid w:val="7BD06E0B"/>
    <w:rsid w:val="7BE0388D"/>
    <w:rsid w:val="7BE57D93"/>
    <w:rsid w:val="7BE66796"/>
    <w:rsid w:val="7BEB42B2"/>
    <w:rsid w:val="7BEC5887"/>
    <w:rsid w:val="7BFF4559"/>
    <w:rsid w:val="7C072615"/>
    <w:rsid w:val="7C0827FE"/>
    <w:rsid w:val="7C1024D5"/>
    <w:rsid w:val="7C110D86"/>
    <w:rsid w:val="7C1A756B"/>
    <w:rsid w:val="7C1B1028"/>
    <w:rsid w:val="7C226546"/>
    <w:rsid w:val="7C2321EE"/>
    <w:rsid w:val="7C27638A"/>
    <w:rsid w:val="7C2B2034"/>
    <w:rsid w:val="7C2D4906"/>
    <w:rsid w:val="7C2F354F"/>
    <w:rsid w:val="7C3043FE"/>
    <w:rsid w:val="7C395682"/>
    <w:rsid w:val="7C4B7AF2"/>
    <w:rsid w:val="7C4F607B"/>
    <w:rsid w:val="7C530360"/>
    <w:rsid w:val="7C583982"/>
    <w:rsid w:val="7C591C2A"/>
    <w:rsid w:val="7C5D29FA"/>
    <w:rsid w:val="7C6048EB"/>
    <w:rsid w:val="7C6812C7"/>
    <w:rsid w:val="7C7D0B32"/>
    <w:rsid w:val="7C7F643E"/>
    <w:rsid w:val="7C862E2E"/>
    <w:rsid w:val="7C8C5EFB"/>
    <w:rsid w:val="7C941196"/>
    <w:rsid w:val="7C9F1048"/>
    <w:rsid w:val="7CA31AB6"/>
    <w:rsid w:val="7CA4518D"/>
    <w:rsid w:val="7CAA5140"/>
    <w:rsid w:val="7CAF552B"/>
    <w:rsid w:val="7CB11CD3"/>
    <w:rsid w:val="7CBE5D37"/>
    <w:rsid w:val="7CC620FB"/>
    <w:rsid w:val="7CCD69E1"/>
    <w:rsid w:val="7CD17149"/>
    <w:rsid w:val="7CD730F8"/>
    <w:rsid w:val="7CF83CD0"/>
    <w:rsid w:val="7CFD2609"/>
    <w:rsid w:val="7D027F2A"/>
    <w:rsid w:val="7D061726"/>
    <w:rsid w:val="7D074804"/>
    <w:rsid w:val="7D0A1A32"/>
    <w:rsid w:val="7D0C1069"/>
    <w:rsid w:val="7D0E3B6C"/>
    <w:rsid w:val="7D0E4B5B"/>
    <w:rsid w:val="7D103C64"/>
    <w:rsid w:val="7D1D6CEB"/>
    <w:rsid w:val="7D20687F"/>
    <w:rsid w:val="7D264C50"/>
    <w:rsid w:val="7D2C2F03"/>
    <w:rsid w:val="7D33504E"/>
    <w:rsid w:val="7D362C54"/>
    <w:rsid w:val="7D3C08AA"/>
    <w:rsid w:val="7D456190"/>
    <w:rsid w:val="7D4928DE"/>
    <w:rsid w:val="7D4C641E"/>
    <w:rsid w:val="7D53387A"/>
    <w:rsid w:val="7D5C493C"/>
    <w:rsid w:val="7D5E0C6A"/>
    <w:rsid w:val="7D605D70"/>
    <w:rsid w:val="7D635300"/>
    <w:rsid w:val="7D654C78"/>
    <w:rsid w:val="7D7B1A43"/>
    <w:rsid w:val="7D914060"/>
    <w:rsid w:val="7DA92C0A"/>
    <w:rsid w:val="7DA97DDD"/>
    <w:rsid w:val="7DAD053D"/>
    <w:rsid w:val="7DAE540F"/>
    <w:rsid w:val="7DB07FBB"/>
    <w:rsid w:val="7DB4368B"/>
    <w:rsid w:val="7DBA647B"/>
    <w:rsid w:val="7DBB157D"/>
    <w:rsid w:val="7DBC7CD9"/>
    <w:rsid w:val="7DBE4BFA"/>
    <w:rsid w:val="7DBF6626"/>
    <w:rsid w:val="7DC05D62"/>
    <w:rsid w:val="7DC64DD5"/>
    <w:rsid w:val="7DC77519"/>
    <w:rsid w:val="7DE07F17"/>
    <w:rsid w:val="7DE23B93"/>
    <w:rsid w:val="7DE72E62"/>
    <w:rsid w:val="7DE75C09"/>
    <w:rsid w:val="7DEA41A0"/>
    <w:rsid w:val="7DF16C5F"/>
    <w:rsid w:val="7DF5241B"/>
    <w:rsid w:val="7DF7247F"/>
    <w:rsid w:val="7E08116D"/>
    <w:rsid w:val="7E1725A6"/>
    <w:rsid w:val="7E1F2DD5"/>
    <w:rsid w:val="7E20473E"/>
    <w:rsid w:val="7E243046"/>
    <w:rsid w:val="7E352961"/>
    <w:rsid w:val="7E4313B6"/>
    <w:rsid w:val="7E480690"/>
    <w:rsid w:val="7E4936E0"/>
    <w:rsid w:val="7E584976"/>
    <w:rsid w:val="7E69685C"/>
    <w:rsid w:val="7E7F420C"/>
    <w:rsid w:val="7E804FCB"/>
    <w:rsid w:val="7E833E34"/>
    <w:rsid w:val="7E88494F"/>
    <w:rsid w:val="7E8B2066"/>
    <w:rsid w:val="7E8E42BF"/>
    <w:rsid w:val="7E9032A4"/>
    <w:rsid w:val="7E914FE5"/>
    <w:rsid w:val="7E9212CE"/>
    <w:rsid w:val="7E950AD5"/>
    <w:rsid w:val="7E971EEC"/>
    <w:rsid w:val="7E9F62B8"/>
    <w:rsid w:val="7EB540EC"/>
    <w:rsid w:val="7EB87BC5"/>
    <w:rsid w:val="7ED338B1"/>
    <w:rsid w:val="7ED44F77"/>
    <w:rsid w:val="7ED544B5"/>
    <w:rsid w:val="7EDB49B6"/>
    <w:rsid w:val="7EE232F5"/>
    <w:rsid w:val="7EE24BC3"/>
    <w:rsid w:val="7EF15D28"/>
    <w:rsid w:val="7EF249D0"/>
    <w:rsid w:val="7EF651E7"/>
    <w:rsid w:val="7F0B65FD"/>
    <w:rsid w:val="7F0D0F48"/>
    <w:rsid w:val="7F1B5E8E"/>
    <w:rsid w:val="7F2E4552"/>
    <w:rsid w:val="7F3A609B"/>
    <w:rsid w:val="7F462997"/>
    <w:rsid w:val="7F5117A9"/>
    <w:rsid w:val="7F5D4DA0"/>
    <w:rsid w:val="7F64664B"/>
    <w:rsid w:val="7F687CB7"/>
    <w:rsid w:val="7F6B7D7D"/>
    <w:rsid w:val="7F6E4313"/>
    <w:rsid w:val="7F7119F3"/>
    <w:rsid w:val="7F771FB9"/>
    <w:rsid w:val="7F786EE5"/>
    <w:rsid w:val="7F80282F"/>
    <w:rsid w:val="7F8404D1"/>
    <w:rsid w:val="7F853AB6"/>
    <w:rsid w:val="7F8D4C51"/>
    <w:rsid w:val="7F8F43FC"/>
    <w:rsid w:val="7F9D2957"/>
    <w:rsid w:val="7FA23687"/>
    <w:rsid w:val="7FA37F21"/>
    <w:rsid w:val="7FA60AA9"/>
    <w:rsid w:val="7FA70C17"/>
    <w:rsid w:val="7FA71F3A"/>
    <w:rsid w:val="7FB35629"/>
    <w:rsid w:val="7FBF2A37"/>
    <w:rsid w:val="7FC379A1"/>
    <w:rsid w:val="7FC638A9"/>
    <w:rsid w:val="7FCB755C"/>
    <w:rsid w:val="7FCC02AE"/>
    <w:rsid w:val="7FD078E1"/>
    <w:rsid w:val="7FD663AD"/>
    <w:rsid w:val="7FE15B6A"/>
    <w:rsid w:val="7FEE2D61"/>
    <w:rsid w:val="7FF07C1F"/>
    <w:rsid w:val="7FF524C2"/>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ind w:firstLine="0" w:firstLineChars="0"/>
      <w:jc w:val="left"/>
    </w:pPr>
    <w:rPr>
      <w:rFonts w:ascii="宋体" w:hAnsi="宋体" w:eastAsia="宋体" w:cstheme="minorBidi"/>
      <w:kern w:val="2"/>
      <w:sz w:val="24"/>
      <w:szCs w:val="24"/>
      <w:lang w:val="en-US" w:eastAsia="zh-CN" w:bidi="ar-SA"/>
    </w:rPr>
  </w:style>
  <w:style w:type="paragraph" w:styleId="3">
    <w:name w:val="heading 1"/>
    <w:basedOn w:val="1"/>
    <w:next w:val="1"/>
    <w:qFormat/>
    <w:uiPriority w:val="0"/>
    <w:pPr>
      <w:keepNext/>
      <w:keepLines/>
      <w:spacing w:line="440" w:lineRule="exact"/>
      <w:outlineLvl w:val="0"/>
    </w:pPr>
    <w:rPr>
      <w:b/>
      <w:kern w:val="44"/>
      <w:sz w:val="44"/>
    </w:rPr>
  </w:style>
  <w:style w:type="paragraph" w:styleId="4">
    <w:name w:val="heading 2"/>
    <w:basedOn w:val="1"/>
    <w:next w:val="1"/>
    <w:link w:val="37"/>
    <w:unhideWhenUsed/>
    <w:qFormat/>
    <w:uiPriority w:val="0"/>
    <w:pPr>
      <w:keepNext/>
      <w:keepLines/>
      <w:spacing w:line="500" w:lineRule="exact"/>
      <w:outlineLvl w:val="1"/>
    </w:pPr>
    <w:rPr>
      <w:rFonts w:ascii="Arial" w:hAnsi="Arial" w:eastAsia="黑体"/>
      <w:b/>
      <w:sz w:val="28"/>
    </w:rPr>
  </w:style>
  <w:style w:type="paragraph" w:styleId="5">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sz w:val="24"/>
      <w:szCs w:val="24"/>
    </w:rPr>
  </w:style>
  <w:style w:type="paragraph" w:styleId="10">
    <w:name w:val="annotation text"/>
    <w:basedOn w:val="1"/>
    <w:qFormat/>
    <w:uiPriority w:val="0"/>
    <w:pPr>
      <w:jc w:val="left"/>
    </w:pPr>
  </w:style>
  <w:style w:type="paragraph" w:styleId="11">
    <w:name w:val="Body Text Indent"/>
    <w:basedOn w:val="1"/>
    <w:qFormat/>
    <w:uiPriority w:val="0"/>
    <w:pPr>
      <w:ind w:firstLine="538" w:firstLineChars="168"/>
      <w:jc w:val="left"/>
    </w:pPr>
    <w:rPr>
      <w:rFonts w:ascii="仿宋_GB2312" w:eastAsia="仿宋_GB2312"/>
      <w:sz w:val="32"/>
    </w:rPr>
  </w:style>
  <w:style w:type="paragraph" w:styleId="12">
    <w:name w:val="toc 3"/>
    <w:basedOn w:val="1"/>
    <w:next w:val="1"/>
    <w:qFormat/>
    <w:uiPriority w:val="0"/>
    <w:pPr>
      <w:wordWrap w:val="0"/>
      <w:topLinePunct/>
      <w:spacing w:line="400" w:lineRule="exact"/>
      <w:ind w:left="840" w:leftChars="400"/>
    </w:pPr>
    <w:rPr>
      <w:rFonts w:ascii="宋体" w:hAnsi="宋体" w:eastAsia="宋体"/>
      <w:sz w:val="21"/>
    </w:rPr>
  </w:style>
  <w:style w:type="paragraph" w:styleId="13">
    <w:name w:val="footer"/>
    <w:basedOn w:val="1"/>
    <w:link w:val="36"/>
    <w:qFormat/>
    <w:uiPriority w:val="0"/>
    <w:pPr>
      <w:snapToGrid w:val="0"/>
      <w:spacing w:line="240" w:lineRule="auto"/>
      <w:ind w:firstLine="0" w:firstLineChars="0"/>
      <w:jc w:val="left"/>
    </w:pPr>
    <w:rPr>
      <w:rFonts w:ascii="宋体" w:hAnsi="宋体" w:eastAsia="宋体"/>
      <w:sz w:val="18"/>
      <w:szCs w:val="18"/>
    </w:rPr>
  </w:style>
  <w:style w:type="paragraph" w:styleId="14">
    <w:name w:val="header"/>
    <w:basedOn w:val="1"/>
    <w:link w:val="35"/>
    <w:qFormat/>
    <w:uiPriority w:val="0"/>
    <w:pPr>
      <w:pBdr>
        <w:bottom w:val="single" w:color="auto" w:sz="6" w:space="1"/>
      </w:pBdr>
      <w:wordWrap w:val="0"/>
      <w:topLinePunct/>
      <w:snapToGrid w:val="0"/>
      <w:spacing w:line="240" w:lineRule="auto"/>
      <w:ind w:firstLine="0" w:firstLineChars="0"/>
      <w:jc w:val="center"/>
    </w:pPr>
    <w:rPr>
      <w:rFonts w:ascii="宋体" w:hAnsi="宋体" w:eastAsia="宋体"/>
      <w:sz w:val="18"/>
      <w:szCs w:val="18"/>
    </w:rPr>
  </w:style>
  <w:style w:type="paragraph" w:styleId="15">
    <w:name w:val="toc 1"/>
    <w:basedOn w:val="1"/>
    <w:next w:val="1"/>
    <w:qFormat/>
    <w:uiPriority w:val="0"/>
    <w:pPr>
      <w:tabs>
        <w:tab w:val="right" w:leader="dot" w:pos="0"/>
        <w:tab w:val="right" w:leader="dot" w:pos="9746"/>
      </w:tabs>
      <w:wordWrap w:val="0"/>
      <w:topLinePunct/>
      <w:adjustRightInd w:val="0"/>
      <w:snapToGrid w:val="0"/>
      <w:spacing w:line="400" w:lineRule="exact"/>
    </w:pPr>
    <w:rPr>
      <w:rFonts w:ascii="宋体" w:hAnsi="宋体" w:eastAsia="宋体"/>
      <w:sz w:val="21"/>
    </w:rPr>
  </w:style>
  <w:style w:type="paragraph" w:styleId="16">
    <w:name w:val="toc 2"/>
    <w:basedOn w:val="1"/>
    <w:next w:val="1"/>
    <w:qFormat/>
    <w:uiPriority w:val="0"/>
    <w:pPr>
      <w:wordWrap w:val="0"/>
      <w:topLinePunct/>
      <w:spacing w:line="400" w:lineRule="exact"/>
      <w:ind w:left="420" w:leftChars="200"/>
    </w:pPr>
    <w:rPr>
      <w:rFonts w:ascii="宋体" w:hAnsi="宋体" w:eastAsia="宋体"/>
      <w:sz w:val="21"/>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rFonts w:hint="eastAsia" w:ascii="微软雅黑" w:hAnsi="微软雅黑" w:eastAsia="微软雅黑" w:cs="微软雅黑"/>
      <w:color w:val="02396F"/>
      <w:u w:val="single"/>
    </w:rPr>
  </w:style>
  <w:style w:type="character" w:styleId="22">
    <w:name w:val="Emphasis"/>
    <w:basedOn w:val="20"/>
    <w:qFormat/>
    <w:uiPriority w:val="99"/>
  </w:style>
  <w:style w:type="character" w:styleId="23">
    <w:name w:val="Hyperlink"/>
    <w:basedOn w:val="20"/>
    <w:qFormat/>
    <w:uiPriority w:val="0"/>
    <w:rPr>
      <w:color w:val="0000FF"/>
      <w:u w:val="single"/>
    </w:rPr>
  </w:style>
  <w:style w:type="paragraph" w:customStyle="1" w:styleId="24">
    <w:name w:val="14、“第一章”一级标题"/>
    <w:basedOn w:val="25"/>
    <w:qFormat/>
    <w:uiPriority w:val="0"/>
    <w:pPr>
      <w:numPr>
        <w:ilvl w:val="0"/>
        <w:numId w:val="2"/>
      </w:numPr>
      <w:spacing w:before="50" w:beforeLines="50" w:after="50" w:afterLines="50" w:line="240" w:lineRule="auto"/>
      <w:jc w:val="center"/>
      <w:outlineLvl w:val="0"/>
    </w:pPr>
    <w:rPr>
      <w:b/>
      <w:sz w:val="36"/>
    </w:rPr>
  </w:style>
  <w:style w:type="paragraph" w:customStyle="1" w:styleId="25">
    <w:name w:val="01、普通正文"/>
    <w:basedOn w:val="1"/>
    <w:link w:val="57"/>
    <w:qFormat/>
    <w:uiPriority w:val="0"/>
    <w:pPr>
      <w:wordWrap w:val="0"/>
      <w:topLinePunct/>
      <w:ind w:firstLine="0" w:firstLineChars="0"/>
    </w:pPr>
    <w:rPr>
      <w:rFonts w:ascii="宋体" w:hAnsi="宋体" w:eastAsia="宋体"/>
      <w:snapToGrid w:val="0"/>
    </w:rPr>
  </w:style>
  <w:style w:type="paragraph" w:customStyle="1" w:styleId="26">
    <w:name w:val="15、“一、”二级标题"/>
    <w:basedOn w:val="1"/>
    <w:qFormat/>
    <w:uiPriority w:val="0"/>
    <w:pPr>
      <w:numPr>
        <w:ilvl w:val="1"/>
        <w:numId w:val="2"/>
      </w:numPr>
      <w:wordWrap w:val="0"/>
      <w:topLinePunct/>
      <w:ind w:firstLine="803" w:firstLineChars="200"/>
      <w:outlineLvl w:val="1"/>
    </w:pPr>
    <w:rPr>
      <w:rFonts w:ascii="宋体" w:hAnsi="宋体" w:eastAsia="宋体"/>
      <w:b/>
    </w:rPr>
  </w:style>
  <w:style w:type="paragraph" w:customStyle="1" w:styleId="27">
    <w:name w:val="16、“(一)”三级标题"/>
    <w:basedOn w:val="25"/>
    <w:link w:val="55"/>
    <w:qFormat/>
    <w:uiPriority w:val="0"/>
    <w:pPr>
      <w:numPr>
        <w:ilvl w:val="2"/>
        <w:numId w:val="2"/>
      </w:numPr>
      <w:ind w:firstLine="803" w:firstLineChars="200"/>
      <w:outlineLvl w:val="2"/>
    </w:pPr>
    <w:rPr>
      <w:rFonts w:ascii="宋体" w:hAnsi="宋体" w:eastAsia="宋体"/>
      <w:b/>
    </w:rPr>
  </w:style>
  <w:style w:type="paragraph" w:customStyle="1" w:styleId="28">
    <w:name w:val="17“1.”四级标题"/>
    <w:basedOn w:val="29"/>
    <w:qFormat/>
    <w:uiPriority w:val="0"/>
    <w:pPr>
      <w:numPr>
        <w:ilvl w:val="3"/>
        <w:numId w:val="2"/>
      </w:numPr>
      <w:ind w:firstLine="803" w:firstLineChars="200"/>
    </w:pPr>
    <w:rPr>
      <w:rFonts w:ascii="宋体" w:hAnsi="宋体" w:eastAsia="宋体"/>
    </w:rPr>
  </w:style>
  <w:style w:type="paragraph" w:customStyle="1" w:styleId="29">
    <w:name w:val="02、首行缩进2字符正文"/>
    <w:basedOn w:val="1"/>
    <w:link w:val="56"/>
    <w:qFormat/>
    <w:uiPriority w:val="0"/>
    <w:pPr>
      <w:wordWrap w:val="0"/>
      <w:topLinePunct/>
      <w:ind w:firstLine="480" w:firstLineChars="200"/>
    </w:pPr>
    <w:rPr>
      <w:rFonts w:ascii="宋体" w:hAnsi="宋体" w:eastAsia="宋体"/>
    </w:rPr>
  </w:style>
  <w:style w:type="paragraph" w:customStyle="1" w:styleId="30">
    <w:name w:val="18、“1.1”五级标题"/>
    <w:basedOn w:val="28"/>
    <w:qFormat/>
    <w:uiPriority w:val="0"/>
    <w:pPr>
      <w:numPr>
        <w:ilvl w:val="4"/>
        <w:numId w:val="2"/>
      </w:numPr>
      <w:ind w:firstLine="803" w:firstLineChars="200"/>
    </w:pPr>
  </w:style>
  <w:style w:type="paragraph" w:customStyle="1" w:styleId="31">
    <w:name w:val="19、“(1)”六级标题"/>
    <w:basedOn w:val="28"/>
    <w:qFormat/>
    <w:uiPriority w:val="0"/>
    <w:pPr>
      <w:numPr>
        <w:ilvl w:val="5"/>
        <w:numId w:val="2"/>
      </w:numPr>
      <w:ind w:firstLine="803" w:firstLineChars="200"/>
    </w:pPr>
  </w:style>
  <w:style w:type="paragraph" w:customStyle="1" w:styleId="32">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3">
    <w:name w:val="标题 5（有编号）（绿盟科技）"/>
    <w:basedOn w:val="1"/>
    <w:next w:val="34"/>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5">
    <w:name w:val="页眉 Char"/>
    <w:basedOn w:val="20"/>
    <w:link w:val="14"/>
    <w:qFormat/>
    <w:uiPriority w:val="0"/>
    <w:rPr>
      <w:rFonts w:ascii="宋体" w:hAnsi="宋体" w:eastAsia="宋体" w:cstheme="minorBidi"/>
      <w:kern w:val="2"/>
      <w:sz w:val="18"/>
      <w:szCs w:val="18"/>
    </w:rPr>
  </w:style>
  <w:style w:type="character" w:customStyle="1" w:styleId="36">
    <w:name w:val="页脚 Char"/>
    <w:basedOn w:val="20"/>
    <w:link w:val="13"/>
    <w:qFormat/>
    <w:uiPriority w:val="0"/>
    <w:rPr>
      <w:rFonts w:ascii="宋体" w:hAnsi="宋体" w:eastAsia="宋体" w:cstheme="minorBidi"/>
      <w:kern w:val="2"/>
      <w:sz w:val="18"/>
      <w:szCs w:val="18"/>
    </w:rPr>
  </w:style>
  <w:style w:type="character" w:customStyle="1" w:styleId="37">
    <w:name w:val="标题 2 Char"/>
    <w:basedOn w:val="20"/>
    <w:link w:val="4"/>
    <w:qFormat/>
    <w:uiPriority w:val="0"/>
    <w:rPr>
      <w:rFonts w:ascii="Arial" w:hAnsi="Arial" w:eastAsia="黑体"/>
      <w:b/>
      <w:sz w:val="28"/>
    </w:rPr>
  </w:style>
  <w:style w:type="paragraph" w:customStyle="1" w:styleId="38">
    <w:name w:val="05、“(一)”正文三级标题"/>
    <w:basedOn w:val="1"/>
    <w:link w:val="59"/>
    <w:qFormat/>
    <w:uiPriority w:val="0"/>
    <w:pPr>
      <w:numPr>
        <w:ilvl w:val="1"/>
        <w:numId w:val="1"/>
      </w:numPr>
      <w:wordWrap w:val="0"/>
      <w:topLinePunct/>
      <w:ind w:firstLine="803" w:firstLineChars="200"/>
    </w:pPr>
    <w:rPr>
      <w:rFonts w:ascii="宋体" w:hAnsi="宋体" w:eastAsia="宋体"/>
    </w:rPr>
  </w:style>
  <w:style w:type="paragraph" w:customStyle="1" w:styleId="39">
    <w:name w:val="00、封面正文(与其他内容无关的格式)"/>
    <w:basedOn w:val="1"/>
    <w:qFormat/>
    <w:uiPriority w:val="0"/>
    <w:rPr>
      <w:rFonts w:ascii="宋体" w:hAnsi="宋体" w:eastAsia="宋体"/>
    </w:rPr>
  </w:style>
  <w:style w:type="paragraph" w:customStyle="1" w:styleId="40">
    <w:name w:val="06、“1.”正文四级标题"/>
    <w:basedOn w:val="1"/>
    <w:link w:val="61"/>
    <w:qFormat/>
    <w:uiPriority w:val="0"/>
    <w:pPr>
      <w:numPr>
        <w:ilvl w:val="2"/>
        <w:numId w:val="1"/>
      </w:numPr>
      <w:wordWrap w:val="0"/>
      <w:topLinePunct/>
      <w:ind w:firstLine="803" w:firstLineChars="200"/>
    </w:pPr>
    <w:rPr>
      <w:rFonts w:ascii="宋体" w:hAnsi="宋体" w:eastAsia="宋体"/>
      <w:snapToGrid w:val="0"/>
    </w:rPr>
  </w:style>
  <w:style w:type="paragraph" w:customStyle="1" w:styleId="41">
    <w:name w:val="07、“1.1”正文五级标题"/>
    <w:basedOn w:val="1"/>
    <w:link w:val="53"/>
    <w:qFormat/>
    <w:uiPriority w:val="0"/>
    <w:pPr>
      <w:numPr>
        <w:ilvl w:val="3"/>
        <w:numId w:val="1"/>
      </w:numPr>
      <w:ind w:firstLine="803" w:firstLineChars="200"/>
    </w:pPr>
    <w:rPr>
      <w:rFonts w:ascii="宋体" w:hAnsi="宋体" w:eastAsia="宋体"/>
    </w:rPr>
  </w:style>
  <w:style w:type="paragraph" w:customStyle="1" w:styleId="42">
    <w:name w:val="08、“(1)”正文六级标题"/>
    <w:basedOn w:val="1"/>
    <w:link w:val="62"/>
    <w:qFormat/>
    <w:uiPriority w:val="0"/>
    <w:pPr>
      <w:numPr>
        <w:ilvl w:val="4"/>
        <w:numId w:val="1"/>
      </w:numPr>
      <w:ind w:firstLine="803" w:firstLineChars="200"/>
    </w:pPr>
    <w:rPr>
      <w:rFonts w:ascii="宋体" w:hAnsi="宋体" w:eastAsia="宋体"/>
      <w:snapToGrid w:val="0"/>
    </w:rPr>
  </w:style>
  <w:style w:type="paragraph" w:customStyle="1" w:styleId="43">
    <w:name w:val="09、“1.”表格内一级标题"/>
    <w:basedOn w:val="1"/>
    <w:qFormat/>
    <w:uiPriority w:val="0"/>
    <w:pPr>
      <w:numPr>
        <w:ilvl w:val="0"/>
        <w:numId w:val="4"/>
      </w:numPr>
      <w:wordWrap w:val="0"/>
      <w:topLinePunct/>
      <w:spacing w:line="360" w:lineRule="exact"/>
      <w:ind w:left="48" w:leftChars="20"/>
    </w:pPr>
    <w:rPr>
      <w:rFonts w:ascii="宋体" w:hAnsi="宋体" w:eastAsia="宋体"/>
      <w:snapToGrid w:val="0"/>
      <w:sz w:val="21"/>
    </w:rPr>
  </w:style>
  <w:style w:type="paragraph" w:customStyle="1" w:styleId="44">
    <w:name w:val="10、“1.1”表格内二级标题"/>
    <w:basedOn w:val="1"/>
    <w:link w:val="52"/>
    <w:qFormat/>
    <w:uiPriority w:val="0"/>
    <w:pPr>
      <w:numPr>
        <w:ilvl w:val="1"/>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45">
    <w:name w:val="11、“1.1.1”表格内三级标题"/>
    <w:basedOn w:val="1"/>
    <w:qFormat/>
    <w:uiPriority w:val="0"/>
    <w:pPr>
      <w:numPr>
        <w:ilvl w:val="2"/>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46">
    <w:name w:val="12、表格内左对齐正文"/>
    <w:basedOn w:val="1"/>
    <w:link w:val="63"/>
    <w:qFormat/>
    <w:uiPriority w:val="0"/>
    <w:pPr>
      <w:wordWrap w:val="0"/>
      <w:topLinePunct/>
      <w:spacing w:line="360" w:lineRule="exact"/>
      <w:ind w:left="48" w:leftChars="20" w:firstLine="0" w:firstLineChars="0"/>
    </w:pPr>
    <w:rPr>
      <w:rFonts w:ascii="宋体" w:hAnsi="宋体" w:eastAsia="宋体"/>
      <w:snapToGrid w:val="0"/>
      <w:sz w:val="21"/>
    </w:rPr>
  </w:style>
  <w:style w:type="paragraph" w:customStyle="1" w:styleId="47">
    <w:name w:val="20、第二章“一、”二级标题"/>
    <w:basedOn w:val="25"/>
    <w:qFormat/>
    <w:uiPriority w:val="0"/>
    <w:pPr>
      <w:numPr>
        <w:ilvl w:val="0"/>
        <w:numId w:val="5"/>
      </w:numPr>
      <w:spacing w:before="50" w:beforeLines="50" w:after="50" w:afterLines="50"/>
      <w:jc w:val="center"/>
      <w:outlineLvl w:val="1"/>
    </w:pPr>
    <w:rPr>
      <w:rFonts w:ascii="宋体" w:hAnsi="宋体" w:eastAsia="宋体"/>
      <w:b/>
      <w:sz w:val="32"/>
    </w:rPr>
  </w:style>
  <w:style w:type="paragraph" w:customStyle="1" w:styleId="48">
    <w:name w:val="21、第三章“(一)”三级标题"/>
    <w:basedOn w:val="25"/>
    <w:link w:val="54"/>
    <w:qFormat/>
    <w:uiPriority w:val="0"/>
    <w:pPr>
      <w:pageBreakBefore/>
      <w:numPr>
        <w:ilvl w:val="0"/>
        <w:numId w:val="6"/>
      </w:numPr>
      <w:spacing w:before="50" w:beforeLines="50" w:after="50" w:afterLines="50"/>
      <w:jc w:val="center"/>
      <w:outlineLvl w:val="2"/>
    </w:pPr>
    <w:rPr>
      <w:rFonts w:ascii="宋体" w:hAnsi="宋体" w:eastAsia="宋体"/>
      <w:b/>
      <w:sz w:val="28"/>
    </w:rPr>
  </w:style>
  <w:style w:type="paragraph" w:customStyle="1" w:styleId="49">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50">
    <w:name w:val="03、“注：”正文(加粗，首行缩进2字符)"/>
    <w:basedOn w:val="25"/>
    <w:link w:val="58"/>
    <w:qFormat/>
    <w:uiPriority w:val="0"/>
    <w:pPr>
      <w:ind w:firstLine="480" w:firstLineChars="200"/>
    </w:pPr>
    <w:rPr>
      <w:b/>
    </w:rPr>
  </w:style>
  <w:style w:type="paragraph" w:customStyle="1" w:styleId="51">
    <w:name w:val="04“一、”正文二级标题"/>
    <w:basedOn w:val="25"/>
    <w:link w:val="60"/>
    <w:qFormat/>
    <w:uiPriority w:val="0"/>
    <w:pPr>
      <w:ind w:firstLine="803" w:firstLineChars="200"/>
    </w:pPr>
  </w:style>
  <w:style w:type="character" w:customStyle="1" w:styleId="52">
    <w:name w:val="10、“1.1”表格内二级标题 Char"/>
    <w:link w:val="44"/>
    <w:qFormat/>
    <w:uiPriority w:val="0"/>
    <w:rPr>
      <w:rFonts w:ascii="宋体" w:hAnsi="宋体" w:eastAsia="宋体"/>
      <w:snapToGrid w:val="0"/>
      <w:sz w:val="21"/>
    </w:rPr>
  </w:style>
  <w:style w:type="character" w:customStyle="1" w:styleId="53">
    <w:name w:val="07、“1.1”正文五级标题 Char"/>
    <w:link w:val="41"/>
    <w:qFormat/>
    <w:uiPriority w:val="0"/>
    <w:rPr>
      <w:rFonts w:ascii="宋体" w:hAnsi="宋体" w:eastAsia="宋体"/>
    </w:rPr>
  </w:style>
  <w:style w:type="character" w:customStyle="1" w:styleId="54">
    <w:name w:val="18、第三章“(一)”三级标题 Char"/>
    <w:link w:val="48"/>
    <w:qFormat/>
    <w:uiPriority w:val="0"/>
    <w:rPr>
      <w:rFonts w:ascii="宋体" w:hAnsi="宋体" w:eastAsia="宋体"/>
      <w:b/>
      <w:sz w:val="28"/>
    </w:rPr>
  </w:style>
  <w:style w:type="character" w:customStyle="1" w:styleId="55">
    <w:name w:val="16、“(一)”三级标题 Char"/>
    <w:link w:val="27"/>
    <w:qFormat/>
    <w:uiPriority w:val="0"/>
    <w:rPr>
      <w:rFonts w:ascii="宋体" w:hAnsi="宋体" w:eastAsia="宋体"/>
      <w:b/>
    </w:rPr>
  </w:style>
  <w:style w:type="character" w:customStyle="1" w:styleId="56">
    <w:name w:val="02、首行缩进2字符正文 Char"/>
    <w:link w:val="29"/>
    <w:qFormat/>
    <w:uiPriority w:val="0"/>
    <w:rPr>
      <w:rFonts w:ascii="宋体" w:hAnsi="宋体" w:eastAsia="宋体"/>
    </w:rPr>
  </w:style>
  <w:style w:type="character" w:customStyle="1" w:styleId="57">
    <w:name w:val="01、普通正文 Char"/>
    <w:link w:val="25"/>
    <w:qFormat/>
    <w:uiPriority w:val="0"/>
    <w:rPr>
      <w:rFonts w:ascii="宋体" w:hAnsi="宋体" w:eastAsia="宋体"/>
      <w:snapToGrid w:val="0"/>
    </w:rPr>
  </w:style>
  <w:style w:type="character" w:customStyle="1" w:styleId="58">
    <w:name w:val="03、“注：”正文(加粗，首行缩进2字符) Char"/>
    <w:link w:val="50"/>
    <w:qFormat/>
    <w:uiPriority w:val="0"/>
    <w:rPr>
      <w:b/>
    </w:rPr>
  </w:style>
  <w:style w:type="character" w:customStyle="1" w:styleId="59">
    <w:name w:val="05、“(一)”正文三级标题 Char"/>
    <w:link w:val="38"/>
    <w:qFormat/>
    <w:uiPriority w:val="0"/>
    <w:rPr>
      <w:rFonts w:ascii="宋体" w:hAnsi="宋体" w:eastAsia="宋体"/>
    </w:rPr>
  </w:style>
  <w:style w:type="character" w:customStyle="1" w:styleId="60">
    <w:name w:val="04“一、”正文二级标题 Char"/>
    <w:link w:val="51"/>
    <w:qFormat/>
    <w:uiPriority w:val="0"/>
  </w:style>
  <w:style w:type="character" w:customStyle="1" w:styleId="61">
    <w:name w:val="06、“1.”正文四级标题 Char"/>
    <w:link w:val="40"/>
    <w:qFormat/>
    <w:uiPriority w:val="0"/>
    <w:rPr>
      <w:rFonts w:ascii="宋体" w:hAnsi="宋体" w:eastAsia="宋体"/>
      <w:snapToGrid w:val="0"/>
    </w:rPr>
  </w:style>
  <w:style w:type="character" w:customStyle="1" w:styleId="62">
    <w:name w:val="08、“(1)”正文六级标题 Char"/>
    <w:link w:val="42"/>
    <w:qFormat/>
    <w:uiPriority w:val="0"/>
    <w:rPr>
      <w:rFonts w:ascii="宋体" w:hAnsi="宋体" w:eastAsia="宋体"/>
      <w:snapToGrid w:val="0"/>
    </w:rPr>
  </w:style>
  <w:style w:type="character" w:customStyle="1" w:styleId="63">
    <w:name w:val="12、表格内左对齐正文 Char"/>
    <w:link w:val="46"/>
    <w:qFormat/>
    <w:uiPriority w:val="0"/>
    <w:rPr>
      <w:rFonts w:ascii="宋体" w:hAnsi="宋体" w:eastAsia="宋体"/>
      <w:snapToGrid w:val="0"/>
      <w:sz w:val="21"/>
    </w:rPr>
  </w:style>
  <w:style w:type="paragraph" w:customStyle="1" w:styleId="64">
    <w:name w:val="样式 首行缩进:  2 字符"/>
    <w:basedOn w:val="1"/>
    <w:qFormat/>
    <w:uiPriority w:val="0"/>
    <w:pPr>
      <w:spacing w:line="400" w:lineRule="exact"/>
      <w:ind w:firstLine="200" w:firstLineChars="200"/>
    </w:pPr>
    <w:rPr>
      <w:rFonts w:cs="宋体"/>
      <w:sz w:val="24"/>
    </w:rPr>
  </w:style>
  <w:style w:type="character" w:customStyle="1" w:styleId="65">
    <w:name w:val="qxdate"/>
    <w:basedOn w:val="20"/>
    <w:qFormat/>
    <w:uiPriority w:val="0"/>
    <w:rPr>
      <w:color w:val="BA2636"/>
      <w:sz w:val="12"/>
      <w:szCs w:val="12"/>
      <w:u w:val="single"/>
    </w:rPr>
  </w:style>
  <w:style w:type="character" w:customStyle="1" w:styleId="66">
    <w:name w:val="displayarti"/>
    <w:basedOn w:val="20"/>
    <w:qFormat/>
    <w:uiPriority w:val="0"/>
    <w:rPr>
      <w:color w:val="FFFFFF"/>
      <w:shd w:val="clear" w:fill="A00000"/>
    </w:rPr>
  </w:style>
  <w:style w:type="character" w:customStyle="1" w:styleId="67">
    <w:name w:val="cfdate"/>
    <w:basedOn w:val="20"/>
    <w:qFormat/>
    <w:uiPriority w:val="0"/>
    <w:rPr>
      <w:color w:val="333333"/>
      <w:sz w:val="12"/>
      <w:szCs w:val="12"/>
    </w:rPr>
  </w:style>
  <w:style w:type="character" w:customStyle="1" w:styleId="68">
    <w:name w:val="gjfg"/>
    <w:basedOn w:val="20"/>
    <w:qFormat/>
    <w:uiPriority w:val="0"/>
  </w:style>
  <w:style w:type="character" w:customStyle="1" w:styleId="69">
    <w:name w:val="redfilefwwh"/>
    <w:basedOn w:val="20"/>
    <w:qFormat/>
    <w:uiPriority w:val="0"/>
    <w:rPr>
      <w:color w:val="BA2636"/>
      <w:sz w:val="12"/>
      <w:szCs w:val="12"/>
    </w:rPr>
  </w:style>
  <w:style w:type="character" w:customStyle="1" w:styleId="70">
    <w:name w:val="redfilenumber"/>
    <w:basedOn w:val="20"/>
    <w:qFormat/>
    <w:uiPriority w:val="0"/>
    <w:rPr>
      <w:color w:val="BA2636"/>
      <w:sz w:val="12"/>
      <w:szCs w:val="12"/>
    </w:rPr>
  </w:style>
  <w:style w:type="paragraph" w:customStyle="1" w:styleId="71">
    <w:name w:val="20、第五章“(一)”三级标题"/>
    <w:basedOn w:val="25"/>
    <w:qFormat/>
    <w:uiPriority w:val="0"/>
    <w:pPr>
      <w:pageBreakBefore/>
      <w:numPr>
        <w:ilvl w:val="0"/>
        <w:numId w:val="6"/>
      </w:numPr>
      <w:spacing w:before="50" w:beforeLines="50" w:after="50" w:afterLines="50"/>
      <w:jc w:val="center"/>
      <w:outlineLvl w:val="2"/>
    </w:pPr>
    <w:rPr>
      <w:rFonts w:ascii="宋体" w:hAnsi="宋体" w:eastAsia="宋体"/>
      <w:b/>
      <w:sz w:val="28"/>
    </w:rPr>
  </w:style>
  <w:style w:type="paragraph" w:styleId="72">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73">
    <w:name w:val="样式 (西文) 宋体 自定义颜(RGB(131313)) 左侧:  0 厘米 行距: 固定值 22 磅 图案: 清除..."/>
    <w:basedOn w:val="1"/>
    <w:qFormat/>
    <w:uiPriority w:val="99"/>
    <w:pPr>
      <w:shd w:val="clear" w:color="auto" w:fill="FFFFFF"/>
      <w:spacing w:line="440" w:lineRule="exact"/>
      <w:ind w:left="0" w:firstLine="0" w:firstLineChars="0"/>
    </w:pPr>
    <w:rPr>
      <w:rFonts w:ascii="宋体" w:hAnsi="宋体" w:cs="宋体"/>
      <w:color w:val="0D0D0D"/>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GIF"/><Relationship Id="rId21" Type="http://schemas.openxmlformats.org/officeDocument/2006/relationships/image" Target="media/image4.GIF"/><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6541</Words>
  <Characters>37287</Characters>
  <Lines>310</Lines>
  <Paragraphs>87</Paragraphs>
  <TotalTime>1</TotalTime>
  <ScaleCrop>false</ScaleCrop>
  <LinksUpToDate>false</LinksUpToDate>
  <CharactersWithSpaces>43741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qxzb</dc:creator>
  <cp:lastModifiedBy>111</cp:lastModifiedBy>
  <cp:lastPrinted>2018-12-21T06:52:00Z</cp:lastPrinted>
  <dcterms:modified xsi:type="dcterms:W3CDTF">2021-05-25T03:27:06Z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ABAFB4975B7E4EF584BEA67C8CB7548C</vt:lpwstr>
  </property>
  <property fmtid="{D5CDD505-2E9C-101B-9397-08002B2CF9AE}" pid="4" name="KSOSaveFontToCloudKey">
    <vt:lpwstr>307340517_btnclosed</vt:lpwstr>
  </property>
</Properties>
</file>