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r>
        <w:drawing>
          <wp:anchor distT="0" distB="0" distL="114300" distR="114300" simplePos="0" relativeHeight="251659264" behindDoc="0" locked="0" layoutInCell="1" allowOverlap="0">
            <wp:simplePos x="0" y="0"/>
            <wp:positionH relativeFrom="page">
              <wp:posOffset>493395</wp:posOffset>
            </wp:positionH>
            <wp:positionV relativeFrom="page">
              <wp:posOffset>7240270</wp:posOffset>
            </wp:positionV>
            <wp:extent cx="36830" cy="36830"/>
            <wp:effectExtent l="0" t="0" r="0" b="0"/>
            <wp:wrapSquare wrapText="bothSides"/>
            <wp:docPr id="1064" name="Picture 1064"/>
            <wp:cNvGraphicFramePr/>
            <a:graphic xmlns:a="http://schemas.openxmlformats.org/drawingml/2006/main">
              <a:graphicData uri="http://schemas.openxmlformats.org/drawingml/2006/picture">
                <pic:pic xmlns:pic="http://schemas.openxmlformats.org/drawingml/2006/picture">
                  <pic:nvPicPr>
                    <pic:cNvPr id="1064" name="Picture 1064"/>
                    <pic:cNvPicPr/>
                  </pic:nvPicPr>
                  <pic:blipFill>
                    <a:blip r:embed="rId6"/>
                    <a:stretch>
                      <a:fillRect/>
                    </a:stretch>
                  </pic:blipFill>
                  <pic:spPr>
                    <a:xfrm>
                      <a:off x="0" y="0"/>
                      <a:ext cx="36549" cy="36546"/>
                    </a:xfrm>
                    <a:prstGeom prst="rect">
                      <a:avLst/>
                    </a:prstGeom>
                  </pic:spPr>
                </pic:pic>
              </a:graphicData>
            </a:graphic>
          </wp:anchor>
        </w:drawing>
      </w:r>
      <w:r>
        <w:drawing>
          <wp:anchor distT="0" distB="0" distL="114300" distR="114300" simplePos="0" relativeHeight="251660288" behindDoc="0" locked="0" layoutInCell="1" allowOverlap="0">
            <wp:simplePos x="0" y="0"/>
            <wp:positionH relativeFrom="page">
              <wp:posOffset>447675</wp:posOffset>
            </wp:positionH>
            <wp:positionV relativeFrom="page">
              <wp:posOffset>7267575</wp:posOffset>
            </wp:positionV>
            <wp:extent cx="36830" cy="27305"/>
            <wp:effectExtent l="0" t="0" r="0" b="0"/>
            <wp:wrapSquare wrapText="bothSides"/>
            <wp:docPr id="1065" name="Picture 1065"/>
            <wp:cNvGraphicFramePr/>
            <a:graphic xmlns:a="http://schemas.openxmlformats.org/drawingml/2006/main">
              <a:graphicData uri="http://schemas.openxmlformats.org/drawingml/2006/picture">
                <pic:pic xmlns:pic="http://schemas.openxmlformats.org/drawingml/2006/picture">
                  <pic:nvPicPr>
                    <pic:cNvPr id="1065" name="Picture 1065"/>
                    <pic:cNvPicPr/>
                  </pic:nvPicPr>
                  <pic:blipFill>
                    <a:blip r:embed="rId7"/>
                    <a:stretch>
                      <a:fillRect/>
                    </a:stretch>
                  </pic:blipFill>
                  <pic:spPr>
                    <a:xfrm>
                      <a:off x="0" y="0"/>
                      <a:ext cx="36549" cy="27410"/>
                    </a:xfrm>
                    <a:prstGeom prst="rect">
                      <a:avLst/>
                    </a:prstGeom>
                  </pic:spPr>
                </pic:pic>
              </a:graphicData>
            </a:graphic>
          </wp:anchor>
        </w:drawing>
      </w:r>
      <w:r>
        <w:t>关于</w:t>
      </w:r>
      <w:r>
        <w:rPr>
          <w:rFonts w:hint="eastAsia"/>
        </w:rPr>
        <w:t>印发</w:t>
      </w:r>
      <w:r>
        <w:t>《</w:t>
      </w:r>
      <w:r>
        <w:rPr>
          <w:rFonts w:hint="eastAsia"/>
        </w:rPr>
        <w:t>成都市技师学院</w:t>
      </w:r>
      <w:r>
        <w:t>采购行为负面清单》的通知</w:t>
      </w:r>
    </w:p>
    <w:p/>
    <w:p>
      <w:pPr>
        <w:spacing w:line="600" w:lineRule="exact"/>
        <w:ind w:left="14" w:right="6" w:firstLine="0"/>
        <w:rPr>
          <w:rFonts w:ascii="仿宋_GB2312" w:hAnsi="仿宋" w:eastAsia="仿宋_GB2312"/>
          <w:sz w:val="32"/>
          <w:szCs w:val="32"/>
        </w:rPr>
      </w:pPr>
      <w:r>
        <w:rPr>
          <w:rFonts w:ascii="仿宋_GB2312" w:hAnsi="仿宋" w:eastAsia="仿宋_GB2312"/>
          <w:sz w:val="32"/>
          <w:szCs w:val="32"/>
        </w:rPr>
        <w:t>校内各单位：</w:t>
      </w:r>
    </w:p>
    <w:p>
      <w:pPr>
        <w:spacing w:after="77" w:line="600" w:lineRule="exact"/>
        <w:ind w:left="14" w:right="6"/>
        <w:rPr>
          <w:rFonts w:ascii="仿宋_GB2312" w:hAnsi="仿宋" w:eastAsia="仿宋_GB2312"/>
          <w:sz w:val="32"/>
          <w:szCs w:val="32"/>
        </w:rPr>
      </w:pPr>
      <w:r>
        <w:rPr>
          <w:rFonts w:ascii="仿宋_GB2312" w:hAnsi="仿宋" w:eastAsia="仿宋_GB2312"/>
          <w:sz w:val="32"/>
          <w:szCs w:val="32"/>
        </w:rPr>
        <w:t>为进一步规范校内各单位的采购行为，增强采购当事人依法采购意识，促进廉政建设和加强风险防控，根据《中华人民共和国政府采购法》及实施条例等相关法律法规</w:t>
      </w:r>
      <w:r>
        <w:rPr>
          <w:rFonts w:hint="eastAsia" w:ascii="仿宋_GB2312" w:hAnsi="仿宋" w:eastAsia="仿宋_GB2312"/>
          <w:sz w:val="32"/>
          <w:szCs w:val="32"/>
        </w:rPr>
        <w:t>、学校内控制度</w:t>
      </w:r>
      <w:r>
        <w:rPr>
          <w:rFonts w:ascii="仿宋_GB2312" w:hAnsi="仿宋" w:eastAsia="仿宋_GB2312"/>
          <w:sz w:val="32"/>
          <w:szCs w:val="32"/>
        </w:rPr>
        <w:t>，</w:t>
      </w:r>
      <w:r>
        <w:rPr>
          <w:rFonts w:hint="eastAsia" w:ascii="仿宋_GB2312" w:hAnsi="仿宋" w:eastAsia="仿宋_GB2312"/>
          <w:sz w:val="32"/>
          <w:szCs w:val="32"/>
        </w:rPr>
        <w:t>我处</w:t>
      </w:r>
      <w:r>
        <w:rPr>
          <w:rFonts w:ascii="仿宋_GB2312" w:hAnsi="仿宋" w:eastAsia="仿宋_GB2312"/>
          <w:sz w:val="32"/>
          <w:szCs w:val="32"/>
        </w:rPr>
        <w:t>制定</w:t>
      </w:r>
      <w:r>
        <w:rPr>
          <w:rFonts w:hint="eastAsia" w:ascii="仿宋_GB2312" w:hAnsi="仿宋" w:eastAsia="仿宋_GB2312"/>
          <w:sz w:val="32"/>
          <w:szCs w:val="32"/>
        </w:rPr>
        <w:t>了《成都市技师学院</w:t>
      </w:r>
      <w:r>
        <w:rPr>
          <w:rFonts w:ascii="仿宋_GB2312" w:hAnsi="仿宋" w:eastAsia="仿宋_GB2312"/>
          <w:sz w:val="32"/>
          <w:szCs w:val="32"/>
        </w:rPr>
        <w:t>采购行为负面清单</w:t>
      </w:r>
      <w:r>
        <w:rPr>
          <w:rFonts w:hint="eastAsia" w:ascii="仿宋_GB2312" w:hAnsi="仿宋" w:eastAsia="仿宋_GB2312"/>
          <w:sz w:val="32"/>
          <w:szCs w:val="32"/>
        </w:rPr>
        <w:t>》，现印发给你们。执行过程中，如有问题和建议，请及时向我处反映</w:t>
      </w:r>
      <w:r>
        <w:rPr>
          <w:rFonts w:ascii="仿宋_GB2312" w:hAnsi="仿宋" w:eastAsia="仿宋_GB2312"/>
          <w:sz w:val="32"/>
          <w:szCs w:val="32"/>
        </w:rPr>
        <w:t>。</w:t>
      </w:r>
    </w:p>
    <w:p>
      <w:pPr>
        <w:spacing w:line="600" w:lineRule="exact"/>
        <w:ind w:right="6" w:firstLine="0"/>
        <w:rPr>
          <w:rFonts w:ascii="仿宋_GB2312" w:hAnsi="仿宋" w:eastAsia="仿宋_GB2312"/>
          <w:sz w:val="32"/>
          <w:szCs w:val="32"/>
        </w:rPr>
      </w:pPr>
    </w:p>
    <w:p>
      <w:pPr>
        <w:spacing w:line="600" w:lineRule="exact"/>
        <w:ind w:right="6" w:firstLine="640" w:firstLineChars="200"/>
        <w:rPr>
          <w:rFonts w:ascii="仿宋_GB2312" w:hAnsi="仿宋" w:eastAsia="仿宋_GB2312"/>
          <w:sz w:val="32"/>
          <w:szCs w:val="32"/>
        </w:rPr>
      </w:pPr>
      <w:r>
        <w:rPr>
          <w:rFonts w:ascii="仿宋_GB2312" w:hAnsi="仿宋" w:eastAsia="仿宋_GB2312"/>
          <w:sz w:val="32"/>
          <w:szCs w:val="32"/>
        </w:rPr>
        <w:t>附件：</w:t>
      </w:r>
      <w:r>
        <w:rPr>
          <w:rFonts w:hint="eastAsia" w:ascii="仿宋_GB2312" w:hAnsi="仿宋" w:eastAsia="仿宋_GB2312"/>
          <w:sz w:val="32"/>
          <w:szCs w:val="32"/>
        </w:rPr>
        <w:t>成都市技师学院</w:t>
      </w:r>
      <w:r>
        <w:rPr>
          <w:rFonts w:ascii="仿宋_GB2312" w:hAnsi="仿宋" w:eastAsia="仿宋_GB2312"/>
          <w:sz w:val="32"/>
          <w:szCs w:val="32"/>
        </w:rPr>
        <w:t>采购行为负面清单</w:t>
      </w:r>
      <w:r>
        <w:rPr>
          <w:rFonts w:hint="eastAsia" w:ascii="仿宋_GB2312" w:hAnsi="仿宋" w:eastAsia="仿宋_GB2312"/>
          <w:sz w:val="32"/>
          <w:szCs w:val="32"/>
        </w:rPr>
        <w:t xml:space="preserve"> </w:t>
      </w:r>
      <w:r>
        <w:rPr>
          <w:rFonts w:ascii="仿宋_GB2312" w:hAnsi="仿宋" w:eastAsia="仿宋_GB2312"/>
          <w:sz w:val="32"/>
          <w:szCs w:val="32"/>
        </w:rPr>
        <w:t xml:space="preserve">   </w:t>
      </w:r>
    </w:p>
    <w:p>
      <w:pPr>
        <w:ind w:left="633" w:right="7" w:firstLine="0"/>
      </w:pPr>
    </w:p>
    <w:p>
      <w:pPr>
        <w:ind w:left="633" w:right="7" w:firstLine="0"/>
      </w:pPr>
    </w:p>
    <w:p>
      <w:pPr>
        <w:adjustRightInd w:val="0"/>
        <w:snapToGrid w:val="0"/>
        <w:spacing w:after="0" w:line="600" w:lineRule="exact"/>
        <w:ind w:left="633" w:right="6" w:firstLine="0"/>
        <w:rPr>
          <w:rFonts w:ascii="仿宋_GB2312" w:hAnsi="仿宋" w:eastAsia="仿宋_GB2312"/>
          <w:sz w:val="32"/>
          <w:szCs w:val="32"/>
        </w:rPr>
      </w:pPr>
      <w:r>
        <w:rPr>
          <w:rFonts w:hint="eastAsia"/>
        </w:rPr>
        <w:t xml:space="preserve"> </w:t>
      </w:r>
      <w:r>
        <w:t xml:space="preserve">                 </w:t>
      </w:r>
      <w:r>
        <w:rPr>
          <w:rFonts w:ascii="仿宋_GB2312" w:hAnsi="仿宋" w:eastAsia="仿宋_GB2312"/>
          <w:sz w:val="32"/>
          <w:szCs w:val="32"/>
        </w:rPr>
        <w:t xml:space="preserve">                </w:t>
      </w:r>
      <w:r>
        <w:rPr>
          <w:rFonts w:hint="eastAsia" w:ascii="仿宋_GB2312" w:hAnsi="仿宋" w:eastAsia="仿宋_GB2312"/>
          <w:sz w:val="32"/>
          <w:szCs w:val="32"/>
        </w:rPr>
        <w:t>信息化与国有资产管理处</w:t>
      </w:r>
    </w:p>
    <w:p>
      <w:pPr>
        <w:adjustRightInd w:val="0"/>
        <w:snapToGrid w:val="0"/>
        <w:spacing w:after="0" w:line="600" w:lineRule="exact"/>
        <w:ind w:right="6" w:firstLine="5424" w:firstLineChars="1695"/>
        <w:rPr>
          <w:rFonts w:ascii="仿宋_GB2312" w:hAnsi="仿宋" w:eastAsia="仿宋_GB2312"/>
          <w:sz w:val="32"/>
          <w:szCs w:val="32"/>
        </w:rPr>
      </w:pPr>
      <w:bookmarkStart w:id="0" w:name="_GoBack"/>
      <w:bookmarkEnd w:id="0"/>
      <w:r>
        <w:rPr>
          <w:rFonts w:ascii="仿宋_GB2312" w:hAnsi="仿宋" w:eastAsia="仿宋_GB2312"/>
          <w:sz w:val="32"/>
          <w:szCs w:val="32"/>
        </w:rPr>
        <w:t>2021</w:t>
      </w:r>
      <w:r>
        <w:rPr>
          <w:rFonts w:hint="eastAsia" w:ascii="仿宋_GB2312" w:hAnsi="仿宋" w:eastAsia="仿宋_GB2312"/>
          <w:sz w:val="32"/>
          <w:szCs w:val="32"/>
        </w:rPr>
        <w:t>年1</w:t>
      </w:r>
      <w:r>
        <w:rPr>
          <w:rFonts w:ascii="仿宋_GB2312" w:hAnsi="仿宋" w:eastAsia="仿宋_GB2312"/>
          <w:sz w:val="32"/>
          <w:szCs w:val="32"/>
        </w:rPr>
        <w:t>1</w:t>
      </w:r>
      <w:r>
        <w:rPr>
          <w:rFonts w:hint="eastAsia" w:ascii="仿宋_GB2312" w:hAnsi="仿宋" w:eastAsia="仿宋_GB2312"/>
          <w:sz w:val="32"/>
          <w:szCs w:val="32"/>
        </w:rPr>
        <w:t>月8日</w:t>
      </w:r>
    </w:p>
    <w:p>
      <w:pPr>
        <w:ind w:left="633" w:right="7" w:firstLine="0"/>
      </w:pPr>
    </w:p>
    <w:p>
      <w:pPr>
        <w:ind w:left="633" w:right="7" w:firstLine="0"/>
      </w:pPr>
    </w:p>
    <w:p>
      <w:pPr>
        <w:ind w:left="633" w:right="7" w:firstLine="0"/>
      </w:pPr>
    </w:p>
    <w:p>
      <w:pPr>
        <w:ind w:left="633" w:right="7" w:firstLine="0"/>
      </w:pPr>
    </w:p>
    <w:p>
      <w:pPr>
        <w:ind w:left="633" w:right="7" w:firstLine="0"/>
      </w:pPr>
    </w:p>
    <w:p>
      <w:pPr>
        <w:ind w:left="633" w:right="7" w:firstLine="0"/>
      </w:pPr>
    </w:p>
    <w:p>
      <w:pPr>
        <w:ind w:left="633" w:right="7" w:firstLine="0"/>
      </w:pPr>
    </w:p>
    <w:p>
      <w:pPr>
        <w:spacing w:after="669"/>
        <w:ind w:right="7" w:firstLine="0"/>
        <w:rPr>
          <w:rFonts w:ascii="仿宋_GB2312" w:hAnsi="仿宋" w:eastAsia="仿宋_GB2312"/>
          <w:sz w:val="32"/>
          <w:szCs w:val="32"/>
        </w:rPr>
      </w:pPr>
      <w:r>
        <w:rPr>
          <w:rFonts w:ascii="仿宋_GB2312" w:hAnsi="仿宋" w:eastAsia="仿宋_GB2312"/>
          <w:sz w:val="32"/>
          <w:szCs w:val="32"/>
        </w:rPr>
        <w:t>附件</w:t>
      </w:r>
    </w:p>
    <w:p>
      <w:pPr>
        <w:pStyle w:val="2"/>
        <w:ind w:right="212"/>
      </w:pPr>
      <w:r>
        <w:rPr>
          <w:rFonts w:hint="eastAsia"/>
        </w:rPr>
        <w:t>成都市技师学院</w:t>
      </w:r>
      <w:r>
        <w:t>采购行为负</w:t>
      </w:r>
      <w:r>
        <w:rPr>
          <w:rFonts w:hint="eastAsia"/>
        </w:rPr>
        <w:t>面</w:t>
      </w:r>
      <w:r>
        <w:t>清单</w:t>
      </w:r>
    </w:p>
    <w:p>
      <w:pPr>
        <w:adjustRightInd w:val="0"/>
        <w:snapToGrid w:val="0"/>
        <w:spacing w:after="89" w:line="600" w:lineRule="exact"/>
        <w:ind w:right="6" w:firstLine="640" w:firstLineChars="200"/>
        <w:rPr>
          <w:rFonts w:ascii="仿宋_GB2312" w:hAnsi="仿宋" w:eastAsia="仿宋_GB2312"/>
          <w:sz w:val="32"/>
          <w:szCs w:val="32"/>
        </w:rPr>
      </w:pPr>
      <w:r>
        <w:rPr>
          <w:rFonts w:hint="eastAsia" w:ascii="仿宋_GB2312" w:hAnsi="仿宋" w:eastAsia="仿宋_GB2312"/>
          <w:sz w:val="32"/>
          <w:szCs w:val="32"/>
        </w:rPr>
        <w:t>一、采购申请环节的禁止行为</w:t>
      </w:r>
    </w:p>
    <w:p>
      <w:pPr>
        <w:adjustRightInd w:val="0"/>
        <w:snapToGrid w:val="0"/>
        <w:spacing w:after="3" w:line="600" w:lineRule="exact"/>
        <w:ind w:right="7"/>
        <w:rPr>
          <w:rFonts w:ascii="仿宋_GB2312" w:hAnsi="仿宋" w:eastAsia="仿宋_GB2312"/>
          <w:sz w:val="32"/>
          <w:szCs w:val="32"/>
        </w:rPr>
      </w:pPr>
      <w:r>
        <w:rPr>
          <w:rFonts w:hint="eastAsia" w:ascii="仿宋_GB2312" w:hAnsi="仿宋" w:eastAsia="仿宋_GB2312"/>
          <w:sz w:val="32"/>
          <w:szCs w:val="32"/>
        </w:rPr>
        <w:drawing>
          <wp:anchor distT="0" distB="0" distL="114300" distR="114300" simplePos="0" relativeHeight="251661312" behindDoc="0" locked="0" layoutInCell="1" allowOverlap="0">
            <wp:simplePos x="0" y="0"/>
            <wp:positionH relativeFrom="page">
              <wp:posOffset>7094855</wp:posOffset>
            </wp:positionH>
            <wp:positionV relativeFrom="page">
              <wp:posOffset>3394075</wp:posOffset>
            </wp:positionV>
            <wp:extent cx="31750" cy="13970"/>
            <wp:effectExtent l="0" t="0" r="0" b="0"/>
            <wp:wrapSquare wrapText="bothSides"/>
            <wp:docPr id="3321" name="Picture 3321"/>
            <wp:cNvGraphicFramePr/>
            <a:graphic xmlns:a="http://schemas.openxmlformats.org/drawingml/2006/main">
              <a:graphicData uri="http://schemas.openxmlformats.org/drawingml/2006/picture">
                <pic:pic xmlns:pic="http://schemas.openxmlformats.org/drawingml/2006/picture">
                  <pic:nvPicPr>
                    <pic:cNvPr id="3321" name="Picture 3321"/>
                    <pic:cNvPicPr/>
                  </pic:nvPicPr>
                  <pic:blipFill>
                    <a:blip r:embed="rId8"/>
                    <a:stretch>
                      <a:fillRect/>
                    </a:stretch>
                  </pic:blipFill>
                  <pic:spPr>
                    <a:xfrm>
                      <a:off x="0" y="0"/>
                      <a:ext cx="31979" cy="13705"/>
                    </a:xfrm>
                    <a:prstGeom prst="rect">
                      <a:avLst/>
                    </a:prstGeom>
                  </pic:spPr>
                </pic:pic>
              </a:graphicData>
            </a:graphic>
          </wp:anchor>
        </w:drawing>
      </w:r>
      <w:r>
        <w:rPr>
          <w:rFonts w:hint="eastAsia" w:ascii="仿宋_GB2312" w:hAnsi="仿宋" w:eastAsia="仿宋_GB2312"/>
          <w:sz w:val="32"/>
          <w:szCs w:val="32"/>
        </w:rPr>
        <w:t>1.采购项目无预算。</w:t>
      </w:r>
    </w:p>
    <w:p>
      <w:pPr>
        <w:adjustRightInd w:val="0"/>
        <w:snapToGrid w:val="0"/>
        <w:spacing w:after="0" w:line="600" w:lineRule="exact"/>
        <w:ind w:right="7"/>
        <w:rPr>
          <w:rFonts w:ascii="仿宋_GB2312" w:hAnsi="仿宋" w:eastAsia="仿宋_GB2312"/>
          <w:sz w:val="32"/>
          <w:szCs w:val="32"/>
        </w:rPr>
      </w:pPr>
      <w:r>
        <w:rPr>
          <w:rFonts w:hint="eastAsia" w:ascii="仿宋_GB2312" w:hAnsi="仿宋" w:eastAsia="仿宋_GB2312"/>
          <w:sz w:val="32"/>
          <w:szCs w:val="32"/>
        </w:rPr>
        <w:t>2.将应当执行政府采购的项目化整为零或者以其他方式规避政府采购（预算调整除外）。</w:t>
      </w:r>
    </w:p>
    <w:p>
      <w:pPr>
        <w:adjustRightInd w:val="0"/>
        <w:snapToGrid w:val="0"/>
        <w:spacing w:after="0" w:line="600" w:lineRule="exact"/>
        <w:ind w:right="7"/>
        <w:rPr>
          <w:rFonts w:ascii="仿宋_GB2312" w:hAnsi="仿宋" w:eastAsia="仿宋_GB2312"/>
          <w:sz w:val="32"/>
          <w:szCs w:val="32"/>
        </w:rPr>
      </w:pPr>
      <w:r>
        <w:rPr>
          <w:rFonts w:hint="eastAsia" w:ascii="仿宋_GB2312" w:hAnsi="仿宋" w:eastAsia="仿宋_GB2312"/>
          <w:sz w:val="32"/>
          <w:szCs w:val="32"/>
        </w:rPr>
        <w:t>3</w:t>
      </w:r>
      <w:r>
        <w:rPr>
          <w:rFonts w:ascii="仿宋_GB2312" w:hAnsi="仿宋" w:eastAsia="仿宋_GB2312"/>
          <w:sz w:val="32"/>
          <w:szCs w:val="32"/>
        </w:rPr>
        <w:t>.</w:t>
      </w:r>
      <w:r>
        <w:rPr>
          <w:rFonts w:hint="eastAsia" w:ascii="仿宋_GB2312" w:hAnsi="仿宋" w:eastAsia="仿宋_GB2312"/>
          <w:sz w:val="32"/>
          <w:szCs w:val="32"/>
        </w:rPr>
        <w:t>将应当执行校集中采购的项目化整为零或者以其他方式规避校集中采购（</w:t>
      </w:r>
      <w:r>
        <w:rPr>
          <w:rFonts w:eastAsia="仿宋_GB2312"/>
          <w:sz w:val="32"/>
          <w:szCs w:val="32"/>
        </w:rPr>
        <w:t>预算调整或经批准采用校集中采购以外方式采购的除外</w:t>
      </w:r>
      <w:r>
        <w:rPr>
          <w:rFonts w:hint="eastAsia" w:ascii="仿宋_GB2312" w:hAnsi="仿宋" w:eastAsia="仿宋_GB2312"/>
          <w:sz w:val="32"/>
          <w:szCs w:val="32"/>
        </w:rPr>
        <w:t>）。</w:t>
      </w:r>
    </w:p>
    <w:p>
      <w:pPr>
        <w:adjustRightInd w:val="0"/>
        <w:snapToGrid w:val="0"/>
        <w:spacing w:after="0" w:line="600" w:lineRule="exact"/>
        <w:ind w:right="7"/>
        <w:rPr>
          <w:rFonts w:ascii="仿宋_GB2312" w:hAnsi="仿宋" w:eastAsia="仿宋_GB2312"/>
          <w:sz w:val="32"/>
          <w:szCs w:val="32"/>
        </w:rPr>
      </w:pPr>
      <w:r>
        <w:rPr>
          <w:rFonts w:ascii="仿宋_GB2312" w:hAnsi="仿宋" w:eastAsia="仿宋_GB2312"/>
          <w:sz w:val="32"/>
          <w:szCs w:val="32"/>
        </w:rPr>
        <w:t>4.将应当执行公开招标的项目化整为零或者以其他方式规避公开招标（预算调整或者经批准采用公开招标以外方式的采购除</w:t>
      </w:r>
      <w:r>
        <w:rPr>
          <w:rFonts w:hint="eastAsia" w:ascii="仿宋_GB2312" w:hAnsi="仿宋" w:eastAsia="仿宋_GB2312"/>
          <w:sz w:val="32"/>
          <w:szCs w:val="32"/>
        </w:rPr>
        <w:t>外）</w:t>
      </w:r>
      <w:r>
        <w:rPr>
          <w:rFonts w:ascii="仿宋_GB2312" w:hAnsi="仿宋" w:eastAsia="仿宋_GB2312"/>
          <w:sz w:val="32"/>
          <w:szCs w:val="32"/>
        </w:rPr>
        <w:t>。</w:t>
      </w:r>
    </w:p>
    <w:p>
      <w:pPr>
        <w:adjustRightInd w:val="0"/>
        <w:snapToGrid w:val="0"/>
        <w:spacing w:after="0" w:line="600" w:lineRule="exact"/>
        <w:ind w:right="7"/>
        <w:rPr>
          <w:rFonts w:ascii="仿宋_GB2312" w:hAnsi="仿宋" w:eastAsia="仿宋_GB2312"/>
          <w:sz w:val="32"/>
          <w:szCs w:val="32"/>
        </w:rPr>
      </w:pPr>
      <w:r>
        <w:rPr>
          <w:rFonts w:ascii="仿宋_GB2312" w:hAnsi="仿宋" w:eastAsia="仿宋_GB2312"/>
          <w:sz w:val="32"/>
          <w:szCs w:val="32"/>
        </w:rPr>
        <w:t>5.将应当执行集中采购的政府采购项目，不委托集中采购机构实行集中采购</w:t>
      </w:r>
      <w:r>
        <w:rPr>
          <w:rFonts w:hint="eastAsia" w:ascii="仿宋_GB2312" w:hAnsi="仿宋" w:eastAsia="仿宋_GB2312"/>
          <w:sz w:val="32"/>
          <w:szCs w:val="32"/>
        </w:rPr>
        <w:t>。</w:t>
      </w:r>
    </w:p>
    <w:p>
      <w:pPr>
        <w:adjustRightInd w:val="0"/>
        <w:snapToGrid w:val="0"/>
        <w:spacing w:after="0" w:line="600" w:lineRule="exact"/>
        <w:ind w:right="7"/>
        <w:rPr>
          <w:rFonts w:ascii="仿宋_GB2312" w:hAnsi="仿宋" w:eastAsia="仿宋_GB2312"/>
          <w:sz w:val="32"/>
          <w:szCs w:val="32"/>
        </w:rPr>
      </w:pPr>
      <w:r>
        <w:rPr>
          <w:rFonts w:ascii="仿宋_GB2312" w:hAnsi="仿宋" w:eastAsia="仿宋_GB2312"/>
          <w:sz w:val="32"/>
          <w:szCs w:val="32"/>
        </w:rPr>
        <w:t>6.</w:t>
      </w:r>
      <w:r>
        <w:rPr>
          <w:rFonts w:hint="eastAsia" w:ascii="仿宋_GB2312" w:hAnsi="仿宋" w:eastAsia="仿宋_GB2312"/>
          <w:sz w:val="32"/>
          <w:szCs w:val="32"/>
        </w:rPr>
        <w:t>大型仪器设备未列入当年新增固定资产预算。</w:t>
      </w:r>
    </w:p>
    <w:p>
      <w:pPr>
        <w:adjustRightInd w:val="0"/>
        <w:snapToGrid w:val="0"/>
        <w:spacing w:line="600" w:lineRule="exact"/>
        <w:ind w:left="655" w:right="7" w:firstLine="0"/>
        <w:rPr>
          <w:rFonts w:ascii="仿宋_GB2312" w:hAnsi="仿宋" w:eastAsia="仿宋_GB2312"/>
          <w:sz w:val="32"/>
          <w:szCs w:val="32"/>
        </w:rPr>
      </w:pPr>
      <w:r>
        <w:rPr>
          <w:rFonts w:hint="eastAsia" w:ascii="仿宋_GB2312" w:hAnsi="仿宋" w:eastAsia="仿宋_GB2312"/>
          <w:sz w:val="32"/>
          <w:szCs w:val="32"/>
        </w:rPr>
        <w:t>二、采购文件编制环节的禁止行为</w:t>
      </w:r>
    </w:p>
    <w:p>
      <w:pPr>
        <w:pStyle w:val="8"/>
        <w:numPr>
          <w:ilvl w:val="0"/>
          <w:numId w:val="1"/>
        </w:numPr>
        <w:adjustRightInd w:val="0"/>
        <w:snapToGrid w:val="0"/>
        <w:spacing w:line="600" w:lineRule="exact"/>
        <w:ind w:right="7" w:firstLineChars="0"/>
        <w:rPr>
          <w:rFonts w:ascii="仿宋_GB2312" w:hAnsi="仿宋" w:eastAsia="仿宋_GB2312"/>
          <w:sz w:val="32"/>
          <w:szCs w:val="32"/>
        </w:rPr>
      </w:pPr>
      <w:r>
        <w:rPr>
          <w:rFonts w:hint="eastAsia" w:ascii="仿宋_GB2312" w:hAnsi="仿宋" w:eastAsia="仿宋_GB2312"/>
          <w:sz w:val="32"/>
          <w:szCs w:val="32"/>
        </w:rPr>
        <w:t>资格条件编制禁止行为</w:t>
      </w:r>
    </w:p>
    <w:p>
      <w:pPr>
        <w:adjustRightInd w:val="0"/>
        <w:snapToGrid w:val="0"/>
        <w:spacing w:after="0" w:line="600" w:lineRule="exact"/>
        <w:ind w:right="3" w:firstLine="640" w:firstLineChars="200"/>
        <w:jc w:val="left"/>
        <w:rPr>
          <w:rFonts w:ascii="仿宋_GB2312" w:hAnsi="仿宋" w:eastAsia="仿宋_GB2312"/>
          <w:sz w:val="32"/>
          <w:szCs w:val="32"/>
        </w:rPr>
      </w:pPr>
      <w:r>
        <w:rPr>
          <w:rFonts w:ascii="仿宋_GB2312" w:hAnsi="仿宋" w:eastAsia="仿宋_GB2312"/>
          <w:sz w:val="32"/>
          <w:szCs w:val="32"/>
        </w:rPr>
        <w:t>7.</w:t>
      </w:r>
      <w:r>
        <w:rPr>
          <w:rFonts w:hint="eastAsia" w:ascii="仿宋_GB2312" w:hAnsi="仿宋" w:eastAsia="仿宋_GB2312"/>
          <w:sz w:val="32"/>
          <w:szCs w:val="32"/>
        </w:rPr>
        <w:t>非法限定供应商的所有制形式、组织形式或者所在地。</w:t>
      </w:r>
    </w:p>
    <w:p>
      <w:pPr>
        <w:adjustRightInd w:val="0"/>
        <w:snapToGrid w:val="0"/>
        <w:spacing w:after="0" w:line="600" w:lineRule="exact"/>
        <w:ind w:right="3" w:firstLine="640" w:firstLineChars="200"/>
        <w:jc w:val="left"/>
        <w:rPr>
          <w:rFonts w:ascii="仿宋_GB2312" w:hAnsi="仿宋" w:eastAsia="仿宋_GB2312"/>
          <w:sz w:val="32"/>
          <w:szCs w:val="32"/>
        </w:rPr>
      </w:pPr>
      <w:r>
        <w:rPr>
          <w:rFonts w:ascii="仿宋_GB2312" w:hAnsi="仿宋" w:eastAsia="仿宋_GB2312"/>
          <w:sz w:val="32"/>
          <w:szCs w:val="32"/>
        </w:rPr>
        <w:t>8.设置供应商经营年限作为资格条件。</w:t>
      </w:r>
    </w:p>
    <w:p>
      <w:pPr>
        <w:adjustRightInd w:val="0"/>
        <w:snapToGrid w:val="0"/>
        <w:spacing w:after="0" w:line="600" w:lineRule="exact"/>
        <w:ind w:right="3"/>
        <w:jc w:val="left"/>
        <w:rPr>
          <w:rFonts w:ascii="仿宋_GB2312" w:hAnsi="仿宋" w:eastAsia="仿宋_GB2312"/>
          <w:sz w:val="32"/>
          <w:szCs w:val="32"/>
        </w:rPr>
      </w:pPr>
      <w:r>
        <w:rPr>
          <w:rFonts w:ascii="仿宋_GB2312" w:hAnsi="仿宋" w:eastAsia="仿宋_GB2312"/>
          <w:sz w:val="32"/>
          <w:szCs w:val="32"/>
        </w:rPr>
        <w:t>9.</w:t>
      </w:r>
      <w:r>
        <w:rPr>
          <w:rFonts w:hint="eastAsia" w:ascii="仿宋_GB2312" w:hAnsi="仿宋" w:eastAsia="仿宋_GB2312"/>
          <w:sz w:val="32"/>
          <w:szCs w:val="32"/>
        </w:rPr>
        <w:t>将企业注册资本、资产总额、营业收入、从业人员、利润、纳税额等规模条件作为资格条件。</w:t>
      </w:r>
    </w:p>
    <w:p>
      <w:pPr>
        <w:adjustRightInd w:val="0"/>
        <w:snapToGrid w:val="0"/>
        <w:spacing w:after="0" w:line="600" w:lineRule="exact"/>
        <w:ind w:right="3"/>
        <w:jc w:val="left"/>
        <w:rPr>
          <w:rFonts w:ascii="仿宋_GB2312" w:hAnsi="仿宋" w:eastAsia="仿宋_GB2312"/>
          <w:sz w:val="32"/>
          <w:szCs w:val="32"/>
        </w:rPr>
      </w:pPr>
      <w:r>
        <w:rPr>
          <w:rFonts w:ascii="仿宋_GB2312" w:hAnsi="仿宋" w:eastAsia="仿宋_GB2312"/>
          <w:sz w:val="32"/>
          <w:szCs w:val="32"/>
        </w:rPr>
        <w:t>10.将特定金额的合同业绩作为资格条件</w:t>
      </w:r>
      <w:r>
        <w:rPr>
          <w:rFonts w:hint="eastAsia" w:ascii="仿宋_GB2312" w:hAnsi="仿宋" w:eastAsia="仿宋_GB2312"/>
          <w:sz w:val="32"/>
          <w:szCs w:val="32"/>
        </w:rPr>
        <w:t>。</w:t>
      </w:r>
      <w:r>
        <w:rPr>
          <w:rFonts w:ascii="仿宋_GB2312" w:hAnsi="仿宋" w:eastAsia="仿宋_GB2312"/>
          <w:sz w:val="32"/>
          <w:szCs w:val="32"/>
        </w:rPr>
        <w:t>业绩情况作为资格条件时，要求供应商提供的同类业务合同超过 2 个</w:t>
      </w:r>
      <w:r>
        <w:rPr>
          <w:rFonts w:hint="eastAsia" w:ascii="仿宋_GB2312" w:hAnsi="仿宋" w:eastAsia="仿宋_GB2312"/>
          <w:sz w:val="32"/>
          <w:szCs w:val="32"/>
        </w:rPr>
        <w:t>。</w:t>
      </w:r>
    </w:p>
    <w:p>
      <w:pPr>
        <w:adjustRightInd w:val="0"/>
        <w:snapToGrid w:val="0"/>
        <w:spacing w:after="57" w:line="600" w:lineRule="exact"/>
        <w:ind w:right="3"/>
        <w:jc w:val="left"/>
        <w:rPr>
          <w:rFonts w:ascii="仿宋_GB2312" w:hAnsi="仿宋" w:eastAsia="仿宋_GB2312"/>
          <w:sz w:val="32"/>
          <w:szCs w:val="32"/>
        </w:rPr>
      </w:pPr>
      <w:r>
        <w:rPr>
          <w:rFonts w:ascii="仿宋_GB2312" w:hAnsi="仿宋" w:eastAsia="仿宋_GB2312"/>
          <w:sz w:val="32"/>
          <w:szCs w:val="32"/>
        </w:rPr>
        <w:t>11.</w:t>
      </w:r>
      <w:r>
        <w:rPr>
          <w:rFonts w:hint="eastAsia" w:ascii="仿宋_GB2312" w:hAnsi="仿宋" w:eastAsia="仿宋_GB2312"/>
          <w:sz w:val="32"/>
          <w:szCs w:val="32"/>
        </w:rPr>
        <w:t>将除进口货物以外的生产厂家授权、承诺、证明、背书等作为资格条件。</w:t>
      </w:r>
    </w:p>
    <w:p>
      <w:pPr>
        <w:adjustRightInd w:val="0"/>
        <w:snapToGrid w:val="0"/>
        <w:spacing w:line="600" w:lineRule="exact"/>
        <w:ind w:right="3"/>
        <w:jc w:val="left"/>
        <w:rPr>
          <w:rFonts w:ascii="仿宋_GB2312" w:hAnsi="仿宋" w:eastAsia="仿宋_GB2312"/>
          <w:sz w:val="32"/>
          <w:szCs w:val="32"/>
        </w:rPr>
      </w:pPr>
      <w:r>
        <w:rPr>
          <w:rFonts w:ascii="仿宋_GB2312" w:hAnsi="仿宋" w:eastAsia="仿宋_GB2312"/>
          <w:sz w:val="32"/>
          <w:szCs w:val="32"/>
        </w:rPr>
        <w:t>12.</w:t>
      </w:r>
      <w:r>
        <w:rPr>
          <w:rFonts w:hint="eastAsia" w:ascii="仿宋_GB2312" w:hAnsi="仿宋" w:eastAsia="仿宋_GB2312"/>
          <w:sz w:val="32"/>
          <w:szCs w:val="32"/>
        </w:rPr>
        <w:t>将国家、地方行政机关颁布的法规、规范性文件中已经明令取消的技术资格、资质、认证等作为资格条件。</w:t>
      </w:r>
    </w:p>
    <w:p>
      <w:pPr>
        <w:adjustRightInd w:val="0"/>
        <w:snapToGrid w:val="0"/>
        <w:spacing w:line="600" w:lineRule="exact"/>
        <w:ind w:right="3"/>
        <w:jc w:val="left"/>
        <w:rPr>
          <w:rFonts w:ascii="仿宋_GB2312" w:hAnsi="仿宋" w:eastAsia="仿宋_GB2312"/>
          <w:sz w:val="32"/>
          <w:szCs w:val="32"/>
        </w:rPr>
      </w:pPr>
      <w:r>
        <w:rPr>
          <w:rFonts w:hint="eastAsia" w:ascii="仿宋_GB2312" w:hAnsi="仿宋" w:eastAsia="仿宋_GB2312"/>
          <w:sz w:val="32"/>
          <w:szCs w:val="32"/>
        </w:rPr>
        <w:t>1</w:t>
      </w:r>
      <w:r>
        <w:rPr>
          <w:rFonts w:ascii="仿宋_GB2312" w:hAnsi="仿宋" w:eastAsia="仿宋_GB2312"/>
          <w:sz w:val="32"/>
          <w:szCs w:val="32"/>
        </w:rPr>
        <w:t>3.指定检测机构（国家行政 机关另有规定的除外）、 限定特定时间的检测报告或未给予供应商准备检测报告的必要时间</w:t>
      </w:r>
      <w:r>
        <w:rPr>
          <w:rFonts w:hint="eastAsia" w:ascii="仿宋_GB2312" w:hAnsi="仿宋" w:eastAsia="仿宋_GB2312"/>
          <w:sz w:val="32"/>
          <w:szCs w:val="32"/>
        </w:rPr>
        <w:t>。</w:t>
      </w:r>
    </w:p>
    <w:p>
      <w:pPr>
        <w:adjustRightInd w:val="0"/>
        <w:snapToGrid w:val="0"/>
        <w:spacing w:after="0" w:line="600" w:lineRule="exact"/>
        <w:ind w:left="14" w:right="7"/>
        <w:rPr>
          <w:rFonts w:ascii="仿宋_GB2312" w:hAnsi="仿宋" w:eastAsia="仿宋_GB2312"/>
          <w:sz w:val="32"/>
          <w:szCs w:val="32"/>
        </w:rPr>
      </w:pPr>
      <w:r>
        <w:rPr>
          <w:rFonts w:ascii="仿宋_GB2312" w:hAnsi="仿宋" w:eastAsia="仿宋_GB2312"/>
          <w:sz w:val="32"/>
          <w:szCs w:val="32"/>
        </w:rPr>
        <w:t>14.</w:t>
      </w:r>
      <w:r>
        <w:rPr>
          <w:rFonts w:hint="eastAsia" w:ascii="仿宋_GB2312" w:hAnsi="仿宋" w:eastAsia="仿宋_GB2312"/>
          <w:sz w:val="32"/>
          <w:szCs w:val="32"/>
        </w:rPr>
        <w:t>设置的资格条件与采购项目的具体特点和实际需要不相</w:t>
      </w:r>
      <w:r>
        <w:rPr>
          <w:rFonts w:hint="eastAsia" w:ascii="仿宋_GB2312" w:hAnsi="仿宋" w:eastAsia="仿宋_GB2312"/>
          <w:sz w:val="32"/>
          <w:szCs w:val="32"/>
        </w:rPr>
        <w:drawing>
          <wp:inline distT="0" distB="0" distL="0" distR="0">
            <wp:extent cx="4445" cy="4445"/>
            <wp:effectExtent l="0" t="0" r="0" b="0"/>
            <wp:docPr id="6031" name="Picture 6031"/>
            <wp:cNvGraphicFramePr/>
            <a:graphic xmlns:a="http://schemas.openxmlformats.org/drawingml/2006/main">
              <a:graphicData uri="http://schemas.openxmlformats.org/drawingml/2006/picture">
                <pic:pic xmlns:pic="http://schemas.openxmlformats.org/drawingml/2006/picture">
                  <pic:nvPicPr>
                    <pic:cNvPr id="6031" name="Picture 6031"/>
                    <pic:cNvPicPr/>
                  </pic:nvPicPr>
                  <pic:blipFill>
                    <a:blip r:embed="rId9"/>
                    <a:stretch>
                      <a:fillRect/>
                    </a:stretch>
                  </pic:blipFill>
                  <pic:spPr>
                    <a:xfrm>
                      <a:off x="0" y="0"/>
                      <a:ext cx="4569" cy="4568"/>
                    </a:xfrm>
                    <a:prstGeom prst="rect">
                      <a:avLst/>
                    </a:prstGeom>
                  </pic:spPr>
                </pic:pic>
              </a:graphicData>
            </a:graphic>
          </wp:inline>
        </w:drawing>
      </w:r>
      <w:r>
        <w:rPr>
          <w:rFonts w:hint="eastAsia" w:ascii="仿宋_GB2312" w:hAnsi="仿宋" w:eastAsia="仿宋_GB2312"/>
          <w:sz w:val="32"/>
          <w:szCs w:val="32"/>
        </w:rPr>
        <w:t>适应或者与合同履行无关。</w:t>
      </w:r>
    </w:p>
    <w:p>
      <w:pPr>
        <w:adjustRightInd w:val="0"/>
        <w:snapToGrid w:val="0"/>
        <w:spacing w:line="600" w:lineRule="exact"/>
        <w:ind w:right="7"/>
        <w:rPr>
          <w:rFonts w:ascii="仿宋_GB2312" w:hAnsi="仿宋" w:eastAsia="仿宋_GB2312"/>
          <w:sz w:val="32"/>
          <w:szCs w:val="32"/>
        </w:rPr>
      </w:pPr>
      <w:r>
        <w:rPr>
          <w:rFonts w:ascii="仿宋_GB2312" w:hAnsi="仿宋" w:eastAsia="仿宋_GB2312"/>
          <w:sz w:val="32"/>
          <w:szCs w:val="32"/>
        </w:rPr>
        <w:t>15.</w:t>
      </w:r>
      <w:r>
        <w:rPr>
          <w:rFonts w:hint="eastAsia" w:ascii="仿宋_GB2312" w:hAnsi="仿宋" w:eastAsia="仿宋_GB2312"/>
          <w:sz w:val="32"/>
          <w:szCs w:val="32"/>
        </w:rPr>
        <w:t>以其他不合理的条件限制或者排斥潜在供应商。</w:t>
      </w:r>
    </w:p>
    <w:p>
      <w:pPr>
        <w:pStyle w:val="8"/>
        <w:numPr>
          <w:ilvl w:val="0"/>
          <w:numId w:val="1"/>
        </w:numPr>
        <w:adjustRightInd w:val="0"/>
        <w:snapToGrid w:val="0"/>
        <w:spacing w:line="600" w:lineRule="exact"/>
        <w:ind w:right="7" w:firstLineChars="0"/>
        <w:rPr>
          <w:rFonts w:ascii="仿宋_GB2312" w:hAnsi="仿宋" w:eastAsia="仿宋_GB2312"/>
          <w:sz w:val="32"/>
          <w:szCs w:val="32"/>
        </w:rPr>
      </w:pPr>
      <w:r>
        <w:rPr>
          <w:rFonts w:hint="eastAsia"/>
        </w:rPr>
        <w:drawing>
          <wp:anchor distT="0" distB="0" distL="114300" distR="114300" simplePos="0" relativeHeight="251662336" behindDoc="0" locked="0" layoutInCell="1" allowOverlap="0">
            <wp:simplePos x="0" y="0"/>
            <wp:positionH relativeFrom="page">
              <wp:posOffset>493395</wp:posOffset>
            </wp:positionH>
            <wp:positionV relativeFrom="page">
              <wp:posOffset>7693025</wp:posOffset>
            </wp:positionV>
            <wp:extent cx="36830" cy="22860"/>
            <wp:effectExtent l="0" t="0" r="0" b="0"/>
            <wp:wrapSquare wrapText="bothSides"/>
            <wp:docPr id="6033" name="Picture 6033"/>
            <wp:cNvGraphicFramePr/>
            <a:graphic xmlns:a="http://schemas.openxmlformats.org/drawingml/2006/main">
              <a:graphicData uri="http://schemas.openxmlformats.org/drawingml/2006/picture">
                <pic:pic xmlns:pic="http://schemas.openxmlformats.org/drawingml/2006/picture">
                  <pic:nvPicPr>
                    <pic:cNvPr id="6033" name="Picture 6033"/>
                    <pic:cNvPicPr/>
                  </pic:nvPicPr>
                  <pic:blipFill>
                    <a:blip r:embed="rId10"/>
                    <a:stretch>
                      <a:fillRect/>
                    </a:stretch>
                  </pic:blipFill>
                  <pic:spPr>
                    <a:xfrm>
                      <a:off x="0" y="0"/>
                      <a:ext cx="36549" cy="22841"/>
                    </a:xfrm>
                    <a:prstGeom prst="rect">
                      <a:avLst/>
                    </a:prstGeom>
                  </pic:spPr>
                </pic:pic>
              </a:graphicData>
            </a:graphic>
          </wp:anchor>
        </w:drawing>
      </w:r>
      <w:r>
        <w:rPr>
          <w:rFonts w:hint="eastAsia"/>
        </w:rPr>
        <w:drawing>
          <wp:anchor distT="0" distB="0" distL="114300" distR="114300" simplePos="0" relativeHeight="251663360" behindDoc="0" locked="0" layoutInCell="1" allowOverlap="0">
            <wp:simplePos x="0" y="0"/>
            <wp:positionH relativeFrom="page">
              <wp:posOffset>438150</wp:posOffset>
            </wp:positionH>
            <wp:positionV relativeFrom="page">
              <wp:posOffset>2936875</wp:posOffset>
            </wp:positionV>
            <wp:extent cx="36830" cy="22860"/>
            <wp:effectExtent l="0" t="0" r="0" b="0"/>
            <wp:wrapSquare wrapText="bothSides"/>
            <wp:docPr id="6029" name="Picture 6029"/>
            <wp:cNvGraphicFramePr/>
            <a:graphic xmlns:a="http://schemas.openxmlformats.org/drawingml/2006/main">
              <a:graphicData uri="http://schemas.openxmlformats.org/drawingml/2006/picture">
                <pic:pic xmlns:pic="http://schemas.openxmlformats.org/drawingml/2006/picture">
                  <pic:nvPicPr>
                    <pic:cNvPr id="6029" name="Picture 6029"/>
                    <pic:cNvPicPr/>
                  </pic:nvPicPr>
                  <pic:blipFill>
                    <a:blip r:embed="rId11"/>
                    <a:stretch>
                      <a:fillRect/>
                    </a:stretch>
                  </pic:blipFill>
                  <pic:spPr>
                    <a:xfrm>
                      <a:off x="0" y="0"/>
                      <a:ext cx="36549" cy="22842"/>
                    </a:xfrm>
                    <a:prstGeom prst="rect">
                      <a:avLst/>
                    </a:prstGeom>
                  </pic:spPr>
                </pic:pic>
              </a:graphicData>
            </a:graphic>
          </wp:anchor>
        </w:drawing>
      </w:r>
      <w:r>
        <w:rPr>
          <w:rFonts w:hint="eastAsia"/>
        </w:rPr>
        <w:drawing>
          <wp:anchor distT="0" distB="0" distL="114300" distR="114300" simplePos="0" relativeHeight="251664384" behindDoc="0" locked="0" layoutInCell="1" allowOverlap="0">
            <wp:simplePos x="0" y="0"/>
            <wp:positionH relativeFrom="page">
              <wp:posOffset>447675</wp:posOffset>
            </wp:positionH>
            <wp:positionV relativeFrom="page">
              <wp:posOffset>2964815</wp:posOffset>
            </wp:positionV>
            <wp:extent cx="13970" cy="4445"/>
            <wp:effectExtent l="0" t="0" r="0" b="0"/>
            <wp:wrapSquare wrapText="bothSides"/>
            <wp:docPr id="6030" name="Picture 6030"/>
            <wp:cNvGraphicFramePr/>
            <a:graphic xmlns:a="http://schemas.openxmlformats.org/drawingml/2006/main">
              <a:graphicData uri="http://schemas.openxmlformats.org/drawingml/2006/picture">
                <pic:pic xmlns:pic="http://schemas.openxmlformats.org/drawingml/2006/picture">
                  <pic:nvPicPr>
                    <pic:cNvPr id="6030" name="Picture 6030"/>
                    <pic:cNvPicPr/>
                  </pic:nvPicPr>
                  <pic:blipFill>
                    <a:blip r:embed="rId12"/>
                    <a:stretch>
                      <a:fillRect/>
                    </a:stretch>
                  </pic:blipFill>
                  <pic:spPr>
                    <a:xfrm>
                      <a:off x="0" y="0"/>
                      <a:ext cx="13706" cy="4568"/>
                    </a:xfrm>
                    <a:prstGeom prst="rect">
                      <a:avLst/>
                    </a:prstGeom>
                  </pic:spPr>
                </pic:pic>
              </a:graphicData>
            </a:graphic>
          </wp:anchor>
        </w:drawing>
      </w:r>
      <w:r>
        <w:rPr>
          <w:rFonts w:hint="eastAsia" w:ascii="仿宋_GB2312" w:hAnsi="仿宋" w:eastAsia="仿宋_GB2312"/>
          <w:sz w:val="32"/>
          <w:szCs w:val="32"/>
        </w:rPr>
        <w:t>采购需求编制禁止行为</w:t>
      </w:r>
      <w:r>
        <w:rPr>
          <w:rFonts w:hint="eastAsia"/>
        </w:rPr>
        <w:drawing>
          <wp:inline distT="0" distB="0" distL="0" distR="0">
            <wp:extent cx="8890" cy="4445"/>
            <wp:effectExtent l="0" t="0" r="0" b="0"/>
            <wp:docPr id="6032" name="Picture 6032"/>
            <wp:cNvGraphicFramePr/>
            <a:graphic xmlns:a="http://schemas.openxmlformats.org/drawingml/2006/main">
              <a:graphicData uri="http://schemas.openxmlformats.org/drawingml/2006/picture">
                <pic:pic xmlns:pic="http://schemas.openxmlformats.org/drawingml/2006/picture">
                  <pic:nvPicPr>
                    <pic:cNvPr id="6032" name="Picture 6032"/>
                    <pic:cNvPicPr/>
                  </pic:nvPicPr>
                  <pic:blipFill>
                    <a:blip r:embed="rId13"/>
                    <a:stretch>
                      <a:fillRect/>
                    </a:stretch>
                  </pic:blipFill>
                  <pic:spPr>
                    <a:xfrm>
                      <a:off x="0" y="0"/>
                      <a:ext cx="9137" cy="4568"/>
                    </a:xfrm>
                    <a:prstGeom prst="rect">
                      <a:avLst/>
                    </a:prstGeom>
                  </pic:spPr>
                </pic:pic>
              </a:graphicData>
            </a:graphic>
          </wp:inline>
        </w:drawing>
      </w:r>
    </w:p>
    <w:p>
      <w:pPr>
        <w:adjustRightInd w:val="0"/>
        <w:snapToGrid w:val="0"/>
        <w:spacing w:line="600" w:lineRule="exact"/>
        <w:ind w:left="644" w:right="7" w:firstLine="0"/>
        <w:rPr>
          <w:rFonts w:ascii="仿宋_GB2312" w:hAnsi="仿宋" w:eastAsia="仿宋_GB2312"/>
          <w:sz w:val="32"/>
          <w:szCs w:val="32"/>
        </w:rPr>
      </w:pPr>
      <w:r>
        <w:rPr>
          <w:rFonts w:ascii="仿宋_GB2312" w:hAnsi="仿宋" w:eastAsia="仿宋_GB2312"/>
          <w:sz w:val="32"/>
          <w:szCs w:val="32"/>
        </w:rPr>
        <w:t>16.</w:t>
      </w:r>
      <w:r>
        <w:rPr>
          <w:rFonts w:hint="eastAsia" w:ascii="仿宋_GB2312" w:hAnsi="仿宋" w:eastAsia="仿宋_GB2312"/>
          <w:sz w:val="32"/>
          <w:szCs w:val="32"/>
        </w:rPr>
        <w:t>超出采购预算，超过资产配置标准。</w:t>
      </w:r>
    </w:p>
    <w:p>
      <w:pPr>
        <w:adjustRightInd w:val="0"/>
        <w:snapToGrid w:val="0"/>
        <w:spacing w:after="0" w:line="600" w:lineRule="exact"/>
        <w:ind w:right="7"/>
        <w:rPr>
          <w:rFonts w:ascii="仿宋_GB2312" w:hAnsi="仿宋" w:eastAsia="仿宋_GB2312"/>
          <w:sz w:val="32"/>
          <w:szCs w:val="32"/>
        </w:rPr>
      </w:pPr>
      <w:r>
        <w:rPr>
          <w:rFonts w:ascii="仿宋_GB2312" w:hAnsi="仿宋" w:eastAsia="仿宋_GB2312"/>
          <w:sz w:val="32"/>
          <w:szCs w:val="32"/>
        </w:rPr>
        <w:t>17.</w:t>
      </w:r>
      <w:r>
        <w:rPr>
          <w:rFonts w:hint="eastAsia" w:ascii="仿宋_GB2312" w:hAnsi="仿宋" w:eastAsia="仿宋_GB2312"/>
          <w:sz w:val="32"/>
          <w:szCs w:val="32"/>
        </w:rPr>
        <w:t>采购需求不完整、不明确（除因技术复杂或者性质特殊，不能确定详细规格或者具体要求外)。</w:t>
      </w:r>
    </w:p>
    <w:p>
      <w:pPr>
        <w:adjustRightInd w:val="0"/>
        <w:snapToGrid w:val="0"/>
        <w:spacing w:after="0" w:line="600" w:lineRule="exact"/>
        <w:ind w:right="7"/>
        <w:rPr>
          <w:rFonts w:ascii="仿宋_GB2312" w:hAnsi="仿宋" w:eastAsia="仿宋_GB2312"/>
          <w:sz w:val="32"/>
          <w:szCs w:val="32"/>
        </w:rPr>
      </w:pPr>
      <w:r>
        <w:rPr>
          <w:rFonts w:hint="eastAsia" w:ascii="仿宋_GB2312" w:hAnsi="仿宋" w:eastAsia="仿宋_GB2312"/>
          <w:sz w:val="32"/>
          <w:szCs w:val="32"/>
        </w:rPr>
        <w:t>1</w:t>
      </w:r>
      <w:r>
        <w:rPr>
          <w:rFonts w:ascii="仿宋_GB2312" w:hAnsi="仿宋" w:eastAsia="仿宋_GB2312"/>
          <w:sz w:val="32"/>
          <w:szCs w:val="32"/>
        </w:rPr>
        <w:t>8.</w:t>
      </w:r>
      <w:r>
        <w:rPr>
          <w:rFonts w:hint="eastAsia" w:ascii="仿宋_GB2312" w:hAnsi="仿宋" w:eastAsia="仿宋_GB2312"/>
          <w:sz w:val="32"/>
          <w:szCs w:val="32"/>
        </w:rPr>
        <w:t>限定或者指定</w:t>
      </w:r>
      <w:r>
        <w:rPr>
          <w:rFonts w:ascii="仿宋_GB2312" w:hAnsi="仿宋" w:eastAsia="仿宋_GB2312"/>
          <w:sz w:val="32"/>
          <w:szCs w:val="32"/>
        </w:rPr>
        <w:t>特定</w:t>
      </w:r>
      <w:r>
        <w:rPr>
          <w:rFonts w:hint="eastAsia" w:ascii="仿宋_GB2312" w:hAnsi="仿宋" w:eastAsia="仿宋_GB2312"/>
          <w:sz w:val="32"/>
          <w:szCs w:val="32"/>
        </w:rPr>
        <w:t>的</w:t>
      </w:r>
      <w:r>
        <w:rPr>
          <w:rFonts w:ascii="仿宋_GB2312" w:hAnsi="仿宋" w:eastAsia="仿宋_GB2312"/>
          <w:sz w:val="32"/>
          <w:szCs w:val="32"/>
        </w:rPr>
        <w:t>品牌、商标、商号、专利、参数、型号</w:t>
      </w:r>
      <w:r>
        <w:rPr>
          <w:rFonts w:hint="eastAsia" w:ascii="仿宋_GB2312" w:hAnsi="仿宋" w:eastAsia="仿宋_GB2312"/>
          <w:sz w:val="32"/>
          <w:szCs w:val="32"/>
        </w:rPr>
        <w:t>、</w:t>
      </w:r>
      <w:r>
        <w:rPr>
          <w:rFonts w:ascii="仿宋_GB2312" w:hAnsi="仿宋" w:eastAsia="仿宋_GB2312"/>
          <w:sz w:val="32"/>
          <w:szCs w:val="32"/>
        </w:rPr>
        <w:t>原产地</w:t>
      </w:r>
      <w:r>
        <w:rPr>
          <w:rFonts w:hint="eastAsia" w:ascii="仿宋_GB2312" w:hAnsi="仿宋" w:eastAsia="仿宋_GB2312"/>
          <w:sz w:val="32"/>
          <w:szCs w:val="32"/>
        </w:rPr>
        <w:t>或者</w:t>
      </w:r>
      <w:r>
        <w:rPr>
          <w:rFonts w:ascii="仿宋_GB2312" w:hAnsi="仿宋" w:eastAsia="仿宋_GB2312"/>
          <w:sz w:val="32"/>
          <w:szCs w:val="32"/>
        </w:rPr>
        <w:t>供应商的技术服务规格等条件</w:t>
      </w:r>
      <w:r>
        <w:rPr>
          <w:rFonts w:hint="eastAsia" w:ascii="仿宋_GB2312" w:hAnsi="仿宋" w:eastAsia="仿宋_GB2312"/>
          <w:sz w:val="32"/>
          <w:szCs w:val="32"/>
        </w:rPr>
        <w:t>（单一来源采购除外）；</w:t>
      </w:r>
      <w:r>
        <w:rPr>
          <w:rFonts w:ascii="仿宋_GB2312" w:hAnsi="仿宋" w:eastAsia="仿宋_GB2312"/>
          <w:sz w:val="32"/>
          <w:szCs w:val="32"/>
        </w:rPr>
        <w:t>设置“知名”“一线”</w:t>
      </w:r>
      <w:r>
        <w:rPr>
          <w:rFonts w:hint="eastAsia" w:ascii="仿宋_GB2312" w:hAnsi="仿宋" w:eastAsia="仿宋_GB2312"/>
          <w:sz w:val="32"/>
          <w:szCs w:val="32"/>
        </w:rPr>
        <w:t>“</w:t>
      </w:r>
      <w:r>
        <w:rPr>
          <w:rFonts w:ascii="仿宋_GB2312" w:hAnsi="仿宋" w:eastAsia="仿宋_GB2312"/>
          <w:sz w:val="32"/>
          <w:szCs w:val="32"/>
        </w:rPr>
        <w:t>同档次” “参考品牌（含配件）”等表述</w:t>
      </w:r>
      <w:r>
        <w:rPr>
          <w:rFonts w:hint="eastAsia" w:ascii="仿宋_GB2312" w:hAnsi="仿宋" w:eastAsia="仿宋_GB2312"/>
          <w:sz w:val="32"/>
          <w:szCs w:val="32"/>
        </w:rPr>
        <w:t>。</w:t>
      </w:r>
    </w:p>
    <w:p>
      <w:pPr>
        <w:adjustRightInd w:val="0"/>
        <w:snapToGrid w:val="0"/>
        <w:spacing w:after="3" w:line="600" w:lineRule="exact"/>
        <w:ind w:right="7"/>
        <w:rPr>
          <w:rFonts w:ascii="仿宋_GB2312" w:hAnsi="仿宋" w:eastAsia="仿宋_GB2312"/>
          <w:sz w:val="32"/>
          <w:szCs w:val="32"/>
        </w:rPr>
      </w:pPr>
      <w:r>
        <w:rPr>
          <w:rFonts w:ascii="仿宋_GB2312" w:hAnsi="仿宋" w:eastAsia="仿宋_GB2312"/>
          <w:sz w:val="32"/>
          <w:szCs w:val="32"/>
        </w:rPr>
        <w:t>19.</w:t>
      </w:r>
      <w:r>
        <w:rPr>
          <w:rFonts w:hint="eastAsia" w:ascii="仿宋_GB2312" w:hAnsi="仿宋" w:eastAsia="仿宋_GB2312"/>
          <w:sz w:val="32"/>
          <w:szCs w:val="32"/>
        </w:rPr>
        <w:t>设定最低限价（国家或地方有强制最低价格标准的除外）。</w:t>
      </w:r>
    </w:p>
    <w:p>
      <w:pPr>
        <w:adjustRightInd w:val="0"/>
        <w:snapToGrid w:val="0"/>
        <w:spacing w:line="600" w:lineRule="exact"/>
        <w:ind w:right="7" w:firstLine="640" w:firstLineChars="200"/>
        <w:rPr>
          <w:rFonts w:ascii="仿宋_GB2312" w:hAnsi="仿宋" w:eastAsia="仿宋_GB2312"/>
          <w:sz w:val="32"/>
          <w:szCs w:val="32"/>
        </w:rPr>
      </w:pPr>
      <w:r>
        <w:rPr>
          <w:rFonts w:ascii="仿宋_GB2312" w:hAnsi="仿宋" w:eastAsia="仿宋_GB2312"/>
          <w:sz w:val="32"/>
          <w:szCs w:val="32"/>
        </w:rPr>
        <w:t>20.</w:t>
      </w:r>
      <w:r>
        <w:rPr>
          <w:rFonts w:hint="eastAsia"/>
        </w:rPr>
        <w:t xml:space="preserve"> </w:t>
      </w:r>
      <w:r>
        <w:rPr>
          <w:rFonts w:hint="eastAsia" w:ascii="仿宋_GB2312" w:hAnsi="仿宋" w:eastAsia="仿宋_GB2312"/>
          <w:sz w:val="32"/>
          <w:szCs w:val="32"/>
        </w:rPr>
        <w:t>对不允许偏离的实质性要求和条件，未在采购文件中明确规定（如不满足，投标无效或按响应无效处理），未以“★”符号等醒目方式标明；</w:t>
      </w:r>
    </w:p>
    <w:p>
      <w:pPr>
        <w:adjustRightInd w:val="0"/>
        <w:snapToGrid w:val="0"/>
        <w:spacing w:after="0" w:line="600" w:lineRule="exact"/>
        <w:ind w:right="7" w:firstLine="640" w:firstLineChars="200"/>
        <w:rPr>
          <w:rFonts w:ascii="仿宋_GB2312" w:hAnsi="仿宋" w:eastAsia="仿宋_GB2312"/>
          <w:sz w:val="32"/>
          <w:szCs w:val="32"/>
        </w:rPr>
      </w:pPr>
      <w:r>
        <w:rPr>
          <w:rFonts w:ascii="仿宋_GB2312" w:hAnsi="仿宋" w:eastAsia="仿宋_GB2312"/>
          <w:sz w:val="32"/>
          <w:szCs w:val="32"/>
        </w:rPr>
        <w:t>21.</w:t>
      </w:r>
      <w:r>
        <w:rPr>
          <w:rFonts w:hint="eastAsia" w:ascii="仿宋_GB2312" w:hAnsi="仿宋" w:eastAsia="仿宋_GB2312"/>
          <w:sz w:val="32"/>
          <w:szCs w:val="32"/>
        </w:rPr>
        <w:t xml:space="preserve">未落实节约能源、保护环境、扶持不发达地区和少数民族地区、促进中小企业发展等政府采购政策。 </w:t>
      </w:r>
    </w:p>
    <w:p>
      <w:pPr>
        <w:adjustRightInd w:val="0"/>
        <w:snapToGrid w:val="0"/>
        <w:spacing w:after="0" w:line="600" w:lineRule="exact"/>
        <w:ind w:right="7" w:firstLine="640" w:firstLineChars="200"/>
        <w:rPr>
          <w:rFonts w:ascii="仿宋_GB2312" w:hAnsi="仿宋" w:eastAsia="仿宋_GB2312"/>
          <w:sz w:val="32"/>
          <w:szCs w:val="32"/>
        </w:rPr>
      </w:pPr>
      <w:r>
        <w:rPr>
          <w:rFonts w:ascii="仿宋_GB2312" w:hAnsi="仿宋" w:eastAsia="仿宋_GB2312"/>
          <w:sz w:val="32"/>
          <w:szCs w:val="32"/>
        </w:rPr>
        <w:t>22.</w:t>
      </w:r>
      <w:r>
        <w:rPr>
          <w:rFonts w:hint="eastAsia" w:ascii="仿宋_GB2312" w:hAnsi="仿宋" w:eastAsia="仿宋_GB2312"/>
          <w:sz w:val="32"/>
          <w:szCs w:val="32"/>
        </w:rPr>
        <w:t>设定的交货期限明显不合理。</w:t>
      </w:r>
    </w:p>
    <w:p>
      <w:pPr>
        <w:adjustRightInd w:val="0"/>
        <w:snapToGrid w:val="0"/>
        <w:spacing w:after="0" w:line="600" w:lineRule="exact"/>
        <w:ind w:right="7" w:firstLine="640" w:firstLineChars="200"/>
        <w:rPr>
          <w:rFonts w:ascii="仿宋_GB2312" w:hAnsi="仿宋" w:eastAsia="仿宋_GB2312"/>
          <w:sz w:val="32"/>
          <w:szCs w:val="32"/>
        </w:rPr>
      </w:pPr>
      <w:r>
        <w:rPr>
          <w:rFonts w:hint="eastAsia" w:ascii="仿宋_GB2312" w:hAnsi="仿宋" w:eastAsia="仿宋_GB2312"/>
          <w:sz w:val="32"/>
          <w:szCs w:val="32"/>
        </w:rPr>
        <w:t>2</w:t>
      </w:r>
      <w:r>
        <w:rPr>
          <w:rFonts w:ascii="仿宋_GB2312" w:hAnsi="仿宋" w:eastAsia="仿宋_GB2312"/>
          <w:sz w:val="32"/>
          <w:szCs w:val="32"/>
        </w:rPr>
        <w:t>3.</w:t>
      </w:r>
      <w:r>
        <w:rPr>
          <w:rFonts w:hint="eastAsia" w:ascii="仿宋_GB2312" w:hAnsi="仿宋" w:eastAsia="仿宋_GB2312"/>
          <w:sz w:val="32"/>
          <w:szCs w:val="32"/>
        </w:rPr>
        <w:t>要求供应商提供样品，但未在招标文件中明确规定样品制作的标准和要求、是否需要随样品提交相关检测报告、样品的评审方法以及评审标准。</w:t>
      </w:r>
    </w:p>
    <w:p>
      <w:pPr>
        <w:adjustRightInd w:val="0"/>
        <w:snapToGrid w:val="0"/>
        <w:spacing w:after="0" w:line="600" w:lineRule="exact"/>
        <w:ind w:right="7" w:firstLine="640" w:firstLineChars="200"/>
        <w:rPr>
          <w:rFonts w:ascii="仿宋_GB2312" w:hAnsi="仿宋" w:eastAsia="仿宋_GB2312"/>
          <w:sz w:val="32"/>
          <w:szCs w:val="32"/>
        </w:rPr>
      </w:pPr>
      <w:r>
        <w:rPr>
          <w:rFonts w:hint="eastAsia" w:ascii="仿宋_GB2312" w:hAnsi="仿宋" w:eastAsia="仿宋_GB2312"/>
          <w:sz w:val="32"/>
          <w:szCs w:val="32"/>
        </w:rPr>
        <w:t>2</w:t>
      </w:r>
      <w:r>
        <w:rPr>
          <w:rFonts w:ascii="仿宋_GB2312" w:hAnsi="仿宋" w:eastAsia="仿宋_GB2312"/>
          <w:sz w:val="32"/>
          <w:szCs w:val="32"/>
        </w:rPr>
        <w:t>4.</w:t>
      </w:r>
      <w:r>
        <w:rPr>
          <w:rFonts w:hint="eastAsia" w:ascii="仿宋_GB2312" w:hAnsi="仿宋" w:eastAsia="仿宋_GB2312"/>
          <w:sz w:val="32"/>
          <w:szCs w:val="32"/>
        </w:rPr>
        <w:t>货物类采购项目未</w:t>
      </w:r>
      <w:r>
        <w:rPr>
          <w:rFonts w:ascii="仿宋_GB2312" w:hAnsi="仿宋" w:eastAsia="仿宋_GB2312"/>
          <w:sz w:val="32"/>
          <w:szCs w:val="32"/>
        </w:rPr>
        <w:t>合理确定核心产品</w:t>
      </w:r>
      <w:r>
        <w:rPr>
          <w:rFonts w:hint="eastAsia" w:ascii="仿宋_GB2312" w:hAnsi="仿宋" w:eastAsia="仿宋_GB2312"/>
          <w:sz w:val="32"/>
          <w:szCs w:val="32"/>
        </w:rPr>
        <w:t>。</w:t>
      </w:r>
    </w:p>
    <w:p>
      <w:pPr>
        <w:adjustRightInd w:val="0"/>
        <w:snapToGrid w:val="0"/>
        <w:spacing w:after="123" w:line="600" w:lineRule="exact"/>
        <w:ind w:left="655" w:right="7" w:firstLine="0"/>
        <w:rPr>
          <w:rFonts w:ascii="仿宋_GB2312" w:hAnsi="仿宋" w:eastAsia="仿宋_GB2312"/>
          <w:sz w:val="32"/>
          <w:szCs w:val="32"/>
        </w:rPr>
      </w:pPr>
      <w:r>
        <w:rPr>
          <w:rFonts w:ascii="仿宋_GB2312" w:hAnsi="仿宋" w:eastAsia="仿宋_GB2312"/>
          <w:sz w:val="32"/>
          <w:szCs w:val="32"/>
        </w:rPr>
        <w:t>25.</w:t>
      </w:r>
      <w:r>
        <w:rPr>
          <w:rFonts w:hint="eastAsia" w:ascii="仿宋_GB2312" w:hAnsi="仿宋" w:eastAsia="仿宋_GB2312"/>
          <w:sz w:val="32"/>
          <w:szCs w:val="32"/>
        </w:rPr>
        <w:t>以其他不合理条件对供应商实行差别待遇或者歧视待。</w:t>
      </w:r>
    </w:p>
    <w:p>
      <w:pPr>
        <w:adjustRightInd w:val="0"/>
        <w:snapToGrid w:val="0"/>
        <w:spacing w:line="600" w:lineRule="exact"/>
        <w:ind w:left="799" w:right="7" w:firstLine="0"/>
        <w:rPr>
          <w:rFonts w:ascii="仿宋_GB2312" w:hAnsi="仿宋" w:eastAsia="仿宋_GB2312"/>
          <w:sz w:val="32"/>
          <w:szCs w:val="32"/>
        </w:rPr>
      </w:pPr>
      <w:r>
        <w:rPr>
          <w:rFonts w:hint="eastAsia" w:ascii="仿宋_GB2312" w:hAnsi="仿宋" w:eastAsia="仿宋_GB2312"/>
          <w:sz w:val="32"/>
          <w:szCs w:val="32"/>
        </w:rPr>
        <w:t>（三）评审因素编制禁止行为</w:t>
      </w:r>
    </w:p>
    <w:p>
      <w:pPr>
        <w:adjustRightInd w:val="0"/>
        <w:snapToGrid w:val="0"/>
        <w:spacing w:line="600" w:lineRule="exact"/>
        <w:ind w:left="676" w:right="7" w:firstLine="0"/>
        <w:rPr>
          <w:rFonts w:ascii="仿宋_GB2312" w:hAnsi="仿宋" w:eastAsia="仿宋_GB2312"/>
          <w:sz w:val="32"/>
          <w:szCs w:val="32"/>
        </w:rPr>
      </w:pPr>
      <w:r>
        <w:rPr>
          <w:rFonts w:ascii="仿宋_GB2312" w:hAnsi="仿宋" w:eastAsia="仿宋_GB2312"/>
          <w:sz w:val="32"/>
          <w:szCs w:val="32"/>
        </w:rPr>
        <w:t>26.</w:t>
      </w:r>
      <w:r>
        <w:rPr>
          <w:rFonts w:hint="eastAsia" w:ascii="仿宋_GB2312" w:hAnsi="仿宋" w:eastAsia="仿宋_GB2312"/>
          <w:sz w:val="32"/>
          <w:szCs w:val="32"/>
        </w:rPr>
        <w:t>将资格条件作为评审因素。</w:t>
      </w:r>
    </w:p>
    <w:p>
      <w:pPr>
        <w:adjustRightInd w:val="0"/>
        <w:snapToGrid w:val="0"/>
        <w:spacing w:after="0" w:line="600" w:lineRule="exact"/>
        <w:ind w:left="14" w:right="7" w:firstLine="640" w:firstLineChars="200"/>
        <w:rPr>
          <w:rFonts w:ascii="仿宋_GB2312" w:hAnsi="仿宋" w:eastAsia="仿宋_GB2312"/>
          <w:sz w:val="32"/>
          <w:szCs w:val="32"/>
        </w:rPr>
      </w:pPr>
      <w:r>
        <w:rPr>
          <w:rFonts w:hint="eastAsia" w:ascii="仿宋_GB2312" w:hAnsi="仿宋" w:eastAsia="仿宋_GB2312"/>
          <w:sz w:val="32"/>
          <w:szCs w:val="32"/>
        </w:rPr>
        <w:t>2</w:t>
      </w:r>
      <w:r>
        <w:rPr>
          <w:rFonts w:ascii="仿宋_GB2312" w:hAnsi="仿宋" w:eastAsia="仿宋_GB2312"/>
          <w:sz w:val="32"/>
          <w:szCs w:val="32"/>
        </w:rPr>
        <w:t>7.</w:t>
      </w:r>
      <w:r>
        <w:rPr>
          <w:rFonts w:hint="eastAsia" w:ascii="仿宋_GB2312" w:hAnsi="仿宋" w:eastAsia="仿宋_GB2312"/>
          <w:sz w:val="32"/>
          <w:szCs w:val="32"/>
        </w:rPr>
        <w:t>将供应商的注册地、注册资本、资产总额、营业收入、从业人员、利润、纳税额等规模条件设定为评审因素。</w:t>
      </w:r>
    </w:p>
    <w:p>
      <w:pPr>
        <w:adjustRightInd w:val="0"/>
        <w:snapToGrid w:val="0"/>
        <w:spacing w:line="600" w:lineRule="exact"/>
        <w:ind w:right="7"/>
        <w:rPr>
          <w:rFonts w:ascii="仿宋_GB2312" w:hAnsi="仿宋" w:eastAsia="仿宋_GB2312"/>
          <w:sz w:val="32"/>
          <w:szCs w:val="32"/>
        </w:rPr>
      </w:pPr>
      <w:r>
        <w:rPr>
          <w:rFonts w:ascii="仿宋_GB2312" w:hAnsi="仿宋" w:eastAsia="仿宋_GB2312"/>
          <w:sz w:val="32"/>
          <w:szCs w:val="32"/>
        </w:rPr>
        <w:t>28.</w:t>
      </w:r>
      <w:r>
        <w:rPr>
          <w:rFonts w:hint="eastAsia" w:ascii="仿宋_GB2312" w:hAnsi="仿宋" w:eastAsia="仿宋_GB2312"/>
          <w:sz w:val="32"/>
          <w:szCs w:val="32"/>
        </w:rPr>
        <w:t>对供应商采取不同的评审标准。</w:t>
      </w:r>
    </w:p>
    <w:p>
      <w:pPr>
        <w:adjustRightInd w:val="0"/>
        <w:snapToGrid w:val="0"/>
        <w:spacing w:line="600" w:lineRule="exact"/>
        <w:ind w:right="7"/>
        <w:rPr>
          <w:rFonts w:ascii="仿宋_GB2312" w:hAnsi="仿宋" w:eastAsia="仿宋_GB2312"/>
          <w:sz w:val="32"/>
          <w:szCs w:val="32"/>
        </w:rPr>
      </w:pPr>
      <w:r>
        <w:rPr>
          <w:rFonts w:ascii="仿宋_GB2312" w:hAnsi="仿宋" w:eastAsia="仿宋_GB2312"/>
          <w:sz w:val="32"/>
          <w:szCs w:val="32"/>
        </w:rPr>
        <w:t>29.</w:t>
      </w:r>
      <w:r>
        <w:rPr>
          <w:rFonts w:hint="eastAsia" w:ascii="仿宋_GB2312" w:hAnsi="仿宋" w:eastAsia="仿宋_GB2312"/>
          <w:sz w:val="32"/>
          <w:szCs w:val="32"/>
        </w:rPr>
        <w:t>以特定行政区域或者特定行业的业绩、奖项作为加分条件或者中标、成交条件。</w:t>
      </w:r>
    </w:p>
    <w:p>
      <w:pPr>
        <w:adjustRightInd w:val="0"/>
        <w:snapToGrid w:val="0"/>
        <w:spacing w:after="3" w:line="600" w:lineRule="exact"/>
        <w:ind w:right="7"/>
        <w:rPr>
          <w:rFonts w:ascii="仿宋_GB2312" w:hAnsi="仿宋" w:eastAsia="仿宋_GB2312"/>
          <w:sz w:val="32"/>
          <w:szCs w:val="32"/>
        </w:rPr>
      </w:pPr>
      <w:r>
        <w:rPr>
          <w:rFonts w:ascii="仿宋_GB2312" w:hAnsi="仿宋" w:eastAsia="仿宋_GB2312"/>
          <w:sz w:val="32"/>
          <w:szCs w:val="32"/>
        </w:rPr>
        <w:t>30.</w:t>
      </w:r>
      <w:r>
        <w:rPr>
          <w:rFonts w:hint="eastAsia" w:ascii="仿宋_GB2312" w:hAnsi="仿宋" w:eastAsia="仿宋_GB2312"/>
          <w:sz w:val="32"/>
          <w:szCs w:val="32"/>
        </w:rPr>
        <w:t>将未在采购需求中列明的技术参数、产品功能等作为评审因素。</w:t>
      </w:r>
    </w:p>
    <w:p>
      <w:pPr>
        <w:adjustRightInd w:val="0"/>
        <w:snapToGrid w:val="0"/>
        <w:spacing w:after="0" w:line="600" w:lineRule="exact"/>
        <w:ind w:right="7"/>
        <w:rPr>
          <w:rFonts w:ascii="仿宋_GB2312" w:hAnsi="仿宋" w:eastAsia="仿宋_GB2312"/>
          <w:sz w:val="32"/>
          <w:szCs w:val="32"/>
        </w:rPr>
      </w:pPr>
      <w:r>
        <w:rPr>
          <w:rFonts w:ascii="仿宋_GB2312" w:hAnsi="仿宋" w:eastAsia="仿宋_GB2312"/>
          <w:sz w:val="32"/>
          <w:szCs w:val="32"/>
        </w:rPr>
        <w:t>31.将特定金额的合同业绩作为</w:t>
      </w:r>
      <w:r>
        <w:rPr>
          <w:rFonts w:hint="eastAsia" w:ascii="仿宋_GB2312" w:hAnsi="仿宋" w:eastAsia="仿宋_GB2312"/>
          <w:sz w:val="32"/>
          <w:szCs w:val="32"/>
        </w:rPr>
        <w:t>评审因素。</w:t>
      </w:r>
    </w:p>
    <w:p>
      <w:pPr>
        <w:adjustRightInd w:val="0"/>
        <w:snapToGrid w:val="0"/>
        <w:spacing w:line="600" w:lineRule="exact"/>
        <w:ind w:right="3"/>
        <w:jc w:val="left"/>
        <w:rPr>
          <w:rFonts w:ascii="仿宋_GB2312" w:hAnsi="仿宋" w:eastAsia="仿宋_GB2312"/>
          <w:sz w:val="32"/>
          <w:szCs w:val="32"/>
        </w:rPr>
      </w:pPr>
      <w:r>
        <w:rPr>
          <w:rFonts w:ascii="仿宋_GB2312" w:hAnsi="仿宋" w:eastAsia="仿宋_GB2312"/>
          <w:sz w:val="32"/>
          <w:szCs w:val="32"/>
        </w:rPr>
        <w:t>32.</w:t>
      </w:r>
      <w:r>
        <w:rPr>
          <w:rFonts w:hint="eastAsia" w:ascii="仿宋_GB2312" w:hAnsi="仿宋" w:eastAsia="仿宋_GB2312"/>
          <w:sz w:val="32"/>
          <w:szCs w:val="32"/>
        </w:rPr>
        <w:t>将国家、地方行政机关颁布的法规、规范性文件中已经明令取消的技术资格、资质、认证等</w:t>
      </w:r>
      <w:r>
        <w:rPr>
          <w:rFonts w:ascii="仿宋_GB2312" w:hAnsi="仿宋" w:eastAsia="仿宋_GB2312"/>
          <w:sz w:val="32"/>
          <w:szCs w:val="32"/>
        </w:rPr>
        <w:t>作为评审因素。</w:t>
      </w:r>
    </w:p>
    <w:p>
      <w:pPr>
        <w:adjustRightInd w:val="0"/>
        <w:snapToGrid w:val="0"/>
        <w:spacing w:line="600" w:lineRule="exact"/>
        <w:ind w:right="3"/>
        <w:jc w:val="left"/>
        <w:rPr>
          <w:rFonts w:ascii="仿宋_GB2312" w:hAnsi="仿宋" w:eastAsia="仿宋_GB2312"/>
          <w:sz w:val="32"/>
          <w:szCs w:val="32"/>
        </w:rPr>
      </w:pPr>
      <w:r>
        <w:rPr>
          <w:rFonts w:ascii="仿宋_GB2312" w:hAnsi="仿宋" w:eastAsia="仿宋_GB2312"/>
          <w:sz w:val="32"/>
          <w:szCs w:val="32"/>
        </w:rPr>
        <w:t>33.指定检测机构（国家行政 机关另有规定的除外）、 限定特定时间的检测报告或未给予供应商准备检测报告的必要时间</w:t>
      </w:r>
      <w:r>
        <w:rPr>
          <w:rFonts w:hint="eastAsia" w:ascii="仿宋_GB2312" w:hAnsi="仿宋" w:eastAsia="仿宋_GB2312"/>
          <w:sz w:val="32"/>
          <w:szCs w:val="32"/>
        </w:rPr>
        <w:t>。</w:t>
      </w:r>
    </w:p>
    <w:p>
      <w:pPr>
        <w:adjustRightInd w:val="0"/>
        <w:snapToGrid w:val="0"/>
        <w:spacing w:line="600" w:lineRule="exact"/>
        <w:ind w:right="7"/>
        <w:rPr>
          <w:rFonts w:ascii="仿宋_GB2312" w:hAnsi="仿宋" w:eastAsia="仿宋_GB2312"/>
          <w:sz w:val="32"/>
          <w:szCs w:val="32"/>
        </w:rPr>
      </w:pPr>
      <w:r>
        <w:rPr>
          <w:rFonts w:ascii="仿宋_GB2312" w:hAnsi="仿宋" w:eastAsia="仿宋_GB2312"/>
          <w:sz w:val="32"/>
          <w:szCs w:val="32"/>
        </w:rPr>
        <w:t>34.</w:t>
      </w:r>
      <w:r>
        <w:rPr>
          <w:rFonts w:hint="eastAsia" w:ascii="仿宋_GB2312" w:hAnsi="仿宋" w:eastAsia="仿宋_GB2312"/>
          <w:sz w:val="32"/>
          <w:szCs w:val="32"/>
        </w:rPr>
        <w:t>评审因素未细化和量化。</w:t>
      </w:r>
    </w:p>
    <w:p>
      <w:pPr>
        <w:adjustRightInd w:val="0"/>
        <w:snapToGrid w:val="0"/>
        <w:spacing w:after="0" w:line="600" w:lineRule="exact"/>
        <w:ind w:right="7"/>
        <w:rPr>
          <w:rFonts w:ascii="仿宋_GB2312" w:hAnsi="仿宋" w:eastAsia="仿宋_GB2312"/>
          <w:sz w:val="32"/>
          <w:szCs w:val="32"/>
        </w:rPr>
      </w:pPr>
      <w:r>
        <w:rPr>
          <w:rFonts w:ascii="仿宋_GB2312" w:hAnsi="仿宋" w:eastAsia="仿宋_GB2312"/>
          <w:sz w:val="32"/>
          <w:szCs w:val="32"/>
        </w:rPr>
        <w:t>35.</w:t>
      </w:r>
      <w:r>
        <w:rPr>
          <w:rFonts w:hint="eastAsia" w:ascii="仿宋_GB2312" w:hAnsi="仿宋" w:eastAsia="仿宋_GB2312"/>
          <w:sz w:val="32"/>
          <w:szCs w:val="32"/>
        </w:rPr>
        <w:t>公开招标采用综合评分法评标时，货物项目的价格分值占总分值的比重低于30％；服务项目的价格分值占总分值的比重低于10％。</w:t>
      </w:r>
    </w:p>
    <w:p>
      <w:pPr>
        <w:adjustRightInd w:val="0"/>
        <w:snapToGrid w:val="0"/>
        <w:spacing w:after="0" w:line="600" w:lineRule="exact"/>
        <w:ind w:right="7"/>
        <w:rPr>
          <w:rFonts w:ascii="仿宋_GB2312" w:hAnsi="仿宋" w:eastAsia="仿宋_GB2312"/>
          <w:sz w:val="32"/>
          <w:szCs w:val="32"/>
        </w:rPr>
      </w:pPr>
      <w:r>
        <w:rPr>
          <w:rFonts w:ascii="仿宋_GB2312" w:hAnsi="仿宋" w:eastAsia="仿宋_GB2312"/>
          <w:sz w:val="32"/>
          <w:szCs w:val="32"/>
        </w:rPr>
        <w:t>36.竞争性磋商采购项目中，货物项目的价格分值占总分值 的比重低于30％或超过60％，服务项目的价格分 值占总分值的比重低于10％或超过30％</w:t>
      </w:r>
      <w:r>
        <w:rPr>
          <w:rFonts w:hint="eastAsia" w:ascii="仿宋_GB2312" w:hAnsi="仿宋" w:eastAsia="仿宋_GB2312"/>
          <w:sz w:val="32"/>
          <w:szCs w:val="32"/>
        </w:rPr>
        <w:t>。</w:t>
      </w:r>
    </w:p>
    <w:p>
      <w:pPr>
        <w:adjustRightInd w:val="0"/>
        <w:snapToGrid w:val="0"/>
        <w:spacing w:line="600" w:lineRule="exact"/>
        <w:ind w:left="712" w:right="7" w:firstLine="0"/>
        <w:rPr>
          <w:rFonts w:ascii="仿宋_GB2312" w:hAnsi="仿宋" w:eastAsia="仿宋_GB2312"/>
          <w:sz w:val="32"/>
          <w:szCs w:val="32"/>
        </w:rPr>
      </w:pPr>
      <w:r>
        <w:rPr>
          <w:rFonts w:ascii="仿宋_GB2312" w:hAnsi="仿宋" w:eastAsia="仿宋_GB2312"/>
          <w:sz w:val="32"/>
          <w:szCs w:val="32"/>
        </w:rPr>
        <w:t>37.</w:t>
      </w:r>
      <w:r>
        <w:rPr>
          <w:rFonts w:hint="eastAsia" w:ascii="仿宋_GB2312" w:hAnsi="仿宋" w:eastAsia="仿宋_GB2312"/>
          <w:sz w:val="32"/>
          <w:szCs w:val="32"/>
        </w:rPr>
        <w:t>设定去掉最后报价中的最高报价或最低报价。</w:t>
      </w:r>
    </w:p>
    <w:p>
      <w:pPr>
        <w:adjustRightInd w:val="0"/>
        <w:snapToGrid w:val="0"/>
        <w:spacing w:line="600" w:lineRule="exact"/>
        <w:ind w:left="734" w:right="7" w:firstLine="0"/>
        <w:rPr>
          <w:rFonts w:ascii="仿宋_GB2312" w:hAnsi="仿宋" w:eastAsia="仿宋_GB2312"/>
          <w:sz w:val="32"/>
          <w:szCs w:val="32"/>
        </w:rPr>
      </w:pPr>
      <w:r>
        <w:rPr>
          <w:rFonts w:hint="eastAsia" w:ascii="仿宋_GB2312" w:hAnsi="仿宋" w:eastAsia="仿宋_GB2312"/>
          <w:sz w:val="32"/>
          <w:szCs w:val="32"/>
        </w:rPr>
        <w:drawing>
          <wp:inline distT="0" distB="0" distL="0" distR="0">
            <wp:extent cx="159385" cy="150495"/>
            <wp:effectExtent l="0" t="0" r="0" b="0"/>
            <wp:docPr id="25785" name="Picture 25785"/>
            <wp:cNvGraphicFramePr/>
            <a:graphic xmlns:a="http://schemas.openxmlformats.org/drawingml/2006/main">
              <a:graphicData uri="http://schemas.openxmlformats.org/drawingml/2006/picture">
                <pic:pic xmlns:pic="http://schemas.openxmlformats.org/drawingml/2006/picture">
                  <pic:nvPicPr>
                    <pic:cNvPr id="25785" name="Picture 25785"/>
                    <pic:cNvPicPr/>
                  </pic:nvPicPr>
                  <pic:blipFill>
                    <a:blip r:embed="rId14"/>
                    <a:stretch>
                      <a:fillRect/>
                    </a:stretch>
                  </pic:blipFill>
                  <pic:spPr>
                    <a:xfrm>
                      <a:off x="0" y="0"/>
                      <a:ext cx="159902" cy="150754"/>
                    </a:xfrm>
                    <a:prstGeom prst="rect">
                      <a:avLst/>
                    </a:prstGeom>
                  </pic:spPr>
                </pic:pic>
              </a:graphicData>
            </a:graphic>
          </wp:inline>
        </w:drawing>
      </w:r>
      <w:r>
        <w:rPr>
          <w:rFonts w:hint="eastAsia" w:ascii="仿宋_GB2312" w:hAnsi="仿宋" w:eastAsia="仿宋_GB2312"/>
          <w:sz w:val="32"/>
          <w:szCs w:val="32"/>
        </w:rPr>
        <w:t>、采购评审环节的禁止行为</w:t>
      </w:r>
    </w:p>
    <w:p>
      <w:pPr>
        <w:adjustRightInd w:val="0"/>
        <w:snapToGrid w:val="0"/>
        <w:spacing w:after="3" w:line="600" w:lineRule="exact"/>
        <w:ind w:right="3" w:firstLine="640" w:firstLineChars="200"/>
        <w:jc w:val="left"/>
        <w:rPr>
          <w:rFonts w:ascii="仿宋_GB2312" w:hAnsi="仿宋" w:eastAsia="仿宋_GB2312"/>
          <w:sz w:val="32"/>
          <w:szCs w:val="32"/>
        </w:rPr>
      </w:pPr>
      <w:r>
        <w:rPr>
          <w:rFonts w:ascii="仿宋_GB2312" w:hAnsi="仿宋" w:eastAsia="仿宋_GB2312"/>
          <w:sz w:val="32"/>
          <w:szCs w:val="32"/>
        </w:rPr>
        <w:t>38.</w:t>
      </w:r>
      <w:r>
        <w:rPr>
          <w:rFonts w:hint="eastAsia"/>
        </w:rPr>
        <w:t xml:space="preserve"> </w:t>
      </w:r>
      <w:r>
        <w:rPr>
          <w:rFonts w:hint="eastAsia" w:ascii="仿宋_GB2312" w:hAnsi="仿宋" w:eastAsia="仿宋_GB2312"/>
          <w:sz w:val="32"/>
          <w:szCs w:val="32"/>
        </w:rPr>
        <w:t>开标不在招标文件确定的提交投标文件截止时间的同一时间进行。</w:t>
      </w:r>
    </w:p>
    <w:p>
      <w:pPr>
        <w:adjustRightInd w:val="0"/>
        <w:snapToGrid w:val="0"/>
        <w:spacing w:after="3" w:line="600" w:lineRule="exact"/>
        <w:ind w:right="3"/>
        <w:jc w:val="left"/>
        <w:rPr>
          <w:rFonts w:ascii="仿宋_GB2312" w:hAnsi="仿宋" w:eastAsia="仿宋_GB2312"/>
          <w:sz w:val="32"/>
          <w:szCs w:val="32"/>
        </w:rPr>
      </w:pPr>
      <w:r>
        <w:rPr>
          <w:rFonts w:hint="eastAsia" w:ascii="仿宋_GB2312" w:hAnsi="仿宋" w:eastAsia="仿宋_GB2312"/>
          <w:sz w:val="32"/>
          <w:szCs w:val="32"/>
        </w:rPr>
        <w:t>3</w:t>
      </w:r>
      <w:r>
        <w:rPr>
          <w:rFonts w:ascii="仿宋_GB2312" w:hAnsi="仿宋" w:eastAsia="仿宋_GB2312"/>
          <w:sz w:val="32"/>
          <w:szCs w:val="32"/>
        </w:rPr>
        <w:t>9.</w:t>
      </w:r>
      <w:r>
        <w:rPr>
          <w:rFonts w:hint="eastAsia" w:ascii="仿宋_GB2312" w:hAnsi="仿宋" w:eastAsia="仿宋_GB2312"/>
          <w:sz w:val="32"/>
          <w:szCs w:val="32"/>
        </w:rPr>
        <w:t>评审专家、采购人代表与供应商存在利害关系未回避。</w:t>
      </w:r>
    </w:p>
    <w:p>
      <w:pPr>
        <w:adjustRightInd w:val="0"/>
        <w:snapToGrid w:val="0"/>
        <w:spacing w:line="600" w:lineRule="exact"/>
        <w:ind w:right="3"/>
        <w:jc w:val="left"/>
        <w:rPr>
          <w:rFonts w:ascii="仿宋_GB2312" w:hAnsi="仿宋" w:eastAsia="仿宋_GB2312"/>
          <w:sz w:val="32"/>
          <w:szCs w:val="32"/>
        </w:rPr>
      </w:pPr>
      <w:r>
        <w:rPr>
          <w:rFonts w:ascii="仿宋_GB2312" w:hAnsi="仿宋" w:eastAsia="仿宋_GB2312"/>
          <w:sz w:val="32"/>
          <w:szCs w:val="32"/>
        </w:rPr>
        <w:t>40.</w:t>
      </w:r>
      <w:r>
        <w:rPr>
          <w:rFonts w:hint="eastAsia" w:ascii="仿宋_GB2312" w:hAnsi="仿宋" w:eastAsia="仿宋_GB2312"/>
          <w:sz w:val="32"/>
          <w:szCs w:val="32"/>
        </w:rPr>
        <w:t>评审专家、采购人代表、监督员在确定参与评审至评审结束前私自接触供应商。</w:t>
      </w:r>
    </w:p>
    <w:p>
      <w:pPr>
        <w:adjustRightInd w:val="0"/>
        <w:snapToGrid w:val="0"/>
        <w:spacing w:line="600" w:lineRule="exact"/>
        <w:ind w:left="14" w:right="7"/>
        <w:rPr>
          <w:rFonts w:ascii="仿宋_GB2312" w:hAnsi="仿宋" w:eastAsia="仿宋_GB2312"/>
          <w:sz w:val="32"/>
          <w:szCs w:val="32"/>
        </w:rPr>
      </w:pPr>
      <w:r>
        <w:rPr>
          <w:rFonts w:ascii="仿宋_GB2312" w:hAnsi="仿宋" w:eastAsia="仿宋_GB2312"/>
          <w:sz w:val="32"/>
          <w:szCs w:val="32"/>
        </w:rPr>
        <w:t>41.</w:t>
      </w:r>
      <w:r>
        <w:rPr>
          <w:rFonts w:hint="eastAsia" w:ascii="仿宋_GB2312" w:hAnsi="仿宋" w:eastAsia="仿宋_GB2312"/>
          <w:sz w:val="32"/>
          <w:szCs w:val="32"/>
        </w:rPr>
        <w:t>评审专家、采购人代表以采购文件有错别字等非实质性因素作为借口，要求废标。</w:t>
      </w:r>
    </w:p>
    <w:p>
      <w:pPr>
        <w:adjustRightInd w:val="0"/>
        <w:snapToGrid w:val="0"/>
        <w:spacing w:line="600" w:lineRule="exact"/>
        <w:ind w:left="14" w:right="7"/>
        <w:rPr>
          <w:rFonts w:ascii="仿宋_GB2312" w:hAnsi="仿宋" w:eastAsia="仿宋_GB2312"/>
          <w:sz w:val="32"/>
          <w:szCs w:val="32"/>
        </w:rPr>
      </w:pPr>
      <w:r>
        <w:rPr>
          <w:rFonts w:ascii="仿宋_GB2312" w:hAnsi="仿宋" w:eastAsia="仿宋_GB2312"/>
          <w:sz w:val="32"/>
          <w:szCs w:val="32"/>
        </w:rPr>
        <w:t>42.</w:t>
      </w:r>
      <w:r>
        <w:rPr>
          <w:rFonts w:hint="eastAsia" w:ascii="仿宋_GB2312" w:hAnsi="仿宋" w:eastAsia="仿宋_GB2312"/>
          <w:sz w:val="32"/>
          <w:szCs w:val="32"/>
        </w:rPr>
        <w:t>评审专家、采购人代表未按采购文件规定的评审程序、评审方法和评审标准进行独立评审。</w:t>
      </w:r>
    </w:p>
    <w:p>
      <w:pPr>
        <w:adjustRightInd w:val="0"/>
        <w:snapToGrid w:val="0"/>
        <w:spacing w:after="0" w:line="600" w:lineRule="exact"/>
        <w:jc w:val="left"/>
        <w:rPr>
          <w:rFonts w:ascii="仿宋_GB2312" w:hAnsi="仿宋" w:eastAsia="仿宋_GB2312"/>
          <w:sz w:val="32"/>
          <w:szCs w:val="32"/>
        </w:rPr>
      </w:pPr>
      <w:r>
        <w:rPr>
          <w:rFonts w:ascii="仿宋_GB2312" w:hAnsi="仿宋" w:eastAsia="仿宋_GB2312"/>
          <w:sz w:val="32"/>
          <w:szCs w:val="32"/>
        </w:rPr>
        <w:t>43.</w:t>
      </w:r>
      <w:r>
        <w:rPr>
          <w:rFonts w:hint="eastAsia" w:ascii="仿宋_GB2312" w:hAnsi="仿宋" w:eastAsia="仿宋_GB2312"/>
          <w:sz w:val="32"/>
          <w:szCs w:val="32"/>
        </w:rPr>
        <w:t>评审专家、采购人代表违反评标纪律发表倾向性意见。</w:t>
      </w:r>
    </w:p>
    <w:p>
      <w:pPr>
        <w:adjustRightInd w:val="0"/>
        <w:snapToGrid w:val="0"/>
        <w:spacing w:line="600" w:lineRule="exact"/>
        <w:ind w:right="7"/>
        <w:rPr>
          <w:rFonts w:ascii="仿宋_GB2312" w:hAnsi="仿宋" w:eastAsia="仿宋_GB2312"/>
          <w:sz w:val="32"/>
          <w:szCs w:val="32"/>
        </w:rPr>
      </w:pPr>
      <w:r>
        <w:rPr>
          <w:rFonts w:ascii="仿宋_GB2312" w:hAnsi="仿宋" w:eastAsia="仿宋_GB2312"/>
          <w:sz w:val="32"/>
          <w:szCs w:val="32"/>
        </w:rPr>
        <w:t>44.</w:t>
      </w:r>
      <w:r>
        <w:rPr>
          <w:rFonts w:hint="eastAsia" w:ascii="仿宋_GB2312" w:hAnsi="仿宋" w:eastAsia="仿宋_GB2312"/>
          <w:sz w:val="32"/>
          <w:szCs w:val="32"/>
        </w:rPr>
        <w:t>除投标文件（响应文件）中含义不明确、同类问题表述不一致或者有明显文字和计算错误情形外，评审专家、采购人代表接受投标人提出的与投标文件（响应文件）不一致的澄清或者说明。</w:t>
      </w:r>
    </w:p>
    <w:p>
      <w:pPr>
        <w:adjustRightInd w:val="0"/>
        <w:snapToGrid w:val="0"/>
        <w:spacing w:after="0" w:line="600" w:lineRule="exact"/>
        <w:ind w:right="7"/>
        <w:rPr>
          <w:rFonts w:ascii="仿宋_GB2312" w:hAnsi="仿宋" w:eastAsia="仿宋_GB2312"/>
          <w:sz w:val="32"/>
          <w:szCs w:val="32"/>
        </w:rPr>
      </w:pPr>
      <w:r>
        <w:rPr>
          <w:rFonts w:hint="eastAsia" w:ascii="仿宋_GB2312" w:hAnsi="仿宋" w:eastAsia="仿宋_GB2312"/>
          <w:sz w:val="32"/>
          <w:szCs w:val="32"/>
        </w:rPr>
        <w:drawing>
          <wp:anchor distT="0" distB="0" distL="114300" distR="114300" simplePos="0" relativeHeight="251665408" behindDoc="0" locked="0" layoutInCell="1" allowOverlap="0">
            <wp:simplePos x="0" y="0"/>
            <wp:positionH relativeFrom="page">
              <wp:posOffset>474980</wp:posOffset>
            </wp:positionH>
            <wp:positionV relativeFrom="page">
              <wp:posOffset>7687945</wp:posOffset>
            </wp:positionV>
            <wp:extent cx="36830" cy="22860"/>
            <wp:effectExtent l="0" t="0" r="0" b="0"/>
            <wp:wrapSquare wrapText="bothSides"/>
            <wp:docPr id="11585" name="Picture 11585"/>
            <wp:cNvGraphicFramePr/>
            <a:graphic xmlns:a="http://schemas.openxmlformats.org/drawingml/2006/main">
              <a:graphicData uri="http://schemas.openxmlformats.org/drawingml/2006/picture">
                <pic:pic xmlns:pic="http://schemas.openxmlformats.org/drawingml/2006/picture">
                  <pic:nvPicPr>
                    <pic:cNvPr id="11585" name="Picture 11585"/>
                    <pic:cNvPicPr/>
                  </pic:nvPicPr>
                  <pic:blipFill>
                    <a:blip r:embed="rId15"/>
                    <a:stretch>
                      <a:fillRect/>
                    </a:stretch>
                  </pic:blipFill>
                  <pic:spPr>
                    <a:xfrm>
                      <a:off x="0" y="0"/>
                      <a:ext cx="36549" cy="22841"/>
                    </a:xfrm>
                    <a:prstGeom prst="rect">
                      <a:avLst/>
                    </a:prstGeom>
                  </pic:spPr>
                </pic:pic>
              </a:graphicData>
            </a:graphic>
          </wp:anchor>
        </w:drawing>
      </w:r>
      <w:r>
        <w:rPr>
          <w:rFonts w:ascii="仿宋_GB2312" w:hAnsi="仿宋" w:eastAsia="仿宋_GB2312"/>
          <w:sz w:val="32"/>
          <w:szCs w:val="32"/>
        </w:rPr>
        <w:t>45.</w:t>
      </w:r>
      <w:r>
        <w:rPr>
          <w:rFonts w:hint="eastAsia" w:ascii="仿宋_GB2312" w:hAnsi="仿宋" w:eastAsia="仿宋_GB2312"/>
          <w:sz w:val="32"/>
          <w:szCs w:val="32"/>
        </w:rPr>
        <w:t>评审专家、采购人代表、监督员在评审过程中擅离职守，影响评审程序正常进行。</w:t>
      </w:r>
    </w:p>
    <w:p>
      <w:pPr>
        <w:adjustRightInd w:val="0"/>
        <w:snapToGrid w:val="0"/>
        <w:spacing w:after="0" w:line="600" w:lineRule="exact"/>
        <w:ind w:right="7"/>
        <w:rPr>
          <w:rFonts w:ascii="仿宋_GB2312" w:hAnsi="仿宋" w:eastAsia="仿宋_GB2312"/>
          <w:sz w:val="32"/>
          <w:szCs w:val="32"/>
        </w:rPr>
      </w:pPr>
      <w:r>
        <w:rPr>
          <w:rFonts w:ascii="仿宋_GB2312" w:hAnsi="仿宋" w:eastAsia="仿宋_GB2312"/>
          <w:sz w:val="32"/>
          <w:szCs w:val="32"/>
        </w:rPr>
        <w:t>46.</w:t>
      </w:r>
      <w:r>
        <w:rPr>
          <w:rFonts w:hint="eastAsia" w:ascii="仿宋_GB2312" w:hAnsi="仿宋" w:eastAsia="仿宋_GB2312"/>
          <w:sz w:val="32"/>
          <w:szCs w:val="32"/>
        </w:rPr>
        <w:t>除评审专家、采购人代表、评审现场组织人员外，其他与评审工作无关的人员擅自进入评审现场。</w:t>
      </w:r>
    </w:p>
    <w:p>
      <w:pPr>
        <w:adjustRightInd w:val="0"/>
        <w:snapToGrid w:val="0"/>
        <w:spacing w:after="0" w:line="600" w:lineRule="exact"/>
        <w:ind w:right="7"/>
        <w:rPr>
          <w:rFonts w:ascii="仿宋_GB2312" w:hAnsi="仿宋" w:eastAsia="仿宋_GB2312"/>
          <w:sz w:val="32"/>
          <w:szCs w:val="32"/>
        </w:rPr>
      </w:pPr>
      <w:r>
        <w:rPr>
          <w:rFonts w:ascii="仿宋_GB2312" w:hAnsi="仿宋" w:eastAsia="仿宋_GB2312"/>
          <w:sz w:val="32"/>
          <w:szCs w:val="32"/>
        </w:rPr>
        <w:t>47.采购人代表担任评审组长。</w:t>
      </w:r>
    </w:p>
    <w:p>
      <w:pPr>
        <w:adjustRightInd w:val="0"/>
        <w:snapToGrid w:val="0"/>
        <w:spacing w:after="0" w:line="600" w:lineRule="exact"/>
        <w:ind w:right="7"/>
        <w:rPr>
          <w:rFonts w:ascii="仿宋_GB2312" w:hAnsi="仿宋" w:eastAsia="仿宋_GB2312"/>
          <w:sz w:val="32"/>
          <w:szCs w:val="32"/>
        </w:rPr>
      </w:pPr>
      <w:r>
        <w:rPr>
          <w:rFonts w:hint="eastAsia" w:ascii="仿宋_GB2312" w:hAnsi="仿宋" w:eastAsia="仿宋_GB2312"/>
          <w:sz w:val="32"/>
          <w:szCs w:val="32"/>
        </w:rPr>
        <w:t>4</w:t>
      </w:r>
      <w:r>
        <w:rPr>
          <w:rFonts w:ascii="仿宋_GB2312" w:hAnsi="仿宋" w:eastAsia="仿宋_GB2312"/>
          <w:sz w:val="32"/>
          <w:szCs w:val="32"/>
        </w:rPr>
        <w:t>8.未在法定时间内确认评审结果</w:t>
      </w:r>
      <w:r>
        <w:rPr>
          <w:rFonts w:hint="eastAsia" w:ascii="仿宋_GB2312" w:hAnsi="仿宋" w:eastAsia="仿宋_GB2312"/>
          <w:sz w:val="32"/>
          <w:szCs w:val="32"/>
        </w:rPr>
        <w:t>.</w:t>
      </w:r>
    </w:p>
    <w:p>
      <w:pPr>
        <w:adjustRightInd w:val="0"/>
        <w:snapToGrid w:val="0"/>
        <w:spacing w:line="600" w:lineRule="exact"/>
        <w:ind w:left="644" w:right="7" w:firstLine="0"/>
        <w:rPr>
          <w:rFonts w:ascii="仿宋_GB2312" w:hAnsi="仿宋" w:eastAsia="仿宋_GB2312"/>
          <w:sz w:val="32"/>
          <w:szCs w:val="32"/>
        </w:rPr>
      </w:pPr>
      <w:r>
        <w:rPr>
          <w:rFonts w:ascii="仿宋_GB2312" w:hAnsi="仿宋" w:eastAsia="仿宋_GB2312"/>
          <w:sz w:val="32"/>
          <w:szCs w:val="32"/>
        </w:rPr>
        <w:t>49.</w:t>
      </w:r>
      <w:r>
        <w:rPr>
          <w:rFonts w:hint="eastAsia" w:ascii="仿宋_GB2312" w:hAnsi="仿宋" w:eastAsia="仿宋_GB2312"/>
          <w:sz w:val="32"/>
          <w:szCs w:val="32"/>
        </w:rPr>
        <w:t>其它非法违规干预评审活动。</w:t>
      </w:r>
    </w:p>
    <w:p>
      <w:pPr>
        <w:pStyle w:val="8"/>
        <w:numPr>
          <w:ilvl w:val="0"/>
          <w:numId w:val="2"/>
        </w:numPr>
        <w:adjustRightInd w:val="0"/>
        <w:snapToGrid w:val="0"/>
        <w:spacing w:line="600" w:lineRule="exact"/>
        <w:ind w:right="7" w:firstLineChars="0"/>
        <w:rPr>
          <w:rFonts w:ascii="仿宋_GB2312" w:hAnsi="仿宋" w:eastAsia="仿宋_GB2312"/>
          <w:sz w:val="32"/>
          <w:szCs w:val="32"/>
        </w:rPr>
      </w:pPr>
      <w:r>
        <w:rPr>
          <w:rFonts w:hint="eastAsia" w:ascii="仿宋_GB2312" w:hAnsi="仿宋" w:eastAsia="仿宋_GB2312"/>
          <w:sz w:val="32"/>
          <w:szCs w:val="32"/>
        </w:rPr>
        <w:t>合同签订及履约环节的禁止行为</w:t>
      </w:r>
    </w:p>
    <w:p>
      <w:pPr>
        <w:adjustRightInd w:val="0"/>
        <w:snapToGrid w:val="0"/>
        <w:spacing w:after="0" w:line="600" w:lineRule="exact"/>
        <w:ind w:right="7"/>
        <w:rPr>
          <w:rFonts w:ascii="仿宋_GB2312" w:hAnsi="仿宋" w:eastAsia="仿宋_GB2312"/>
          <w:sz w:val="32"/>
          <w:szCs w:val="32"/>
        </w:rPr>
      </w:pPr>
      <w:r>
        <w:rPr>
          <w:rFonts w:ascii="仿宋_GB2312" w:hAnsi="仿宋" w:eastAsia="仿宋_GB2312"/>
          <w:sz w:val="32"/>
          <w:szCs w:val="32"/>
        </w:rPr>
        <w:t>50.</w:t>
      </w:r>
      <w:r>
        <w:rPr>
          <w:rFonts w:hint="eastAsia" w:ascii="仿宋_GB2312" w:hAnsi="仿宋" w:eastAsia="仿宋_GB2312"/>
          <w:sz w:val="32"/>
          <w:szCs w:val="32"/>
        </w:rPr>
        <w:t>采购人无故拖延或拒绝签订采购合同．采购人未在中标（成交）通知书发出之日起30日内，与中标（成交）供应商签订书面合同。</w:t>
      </w:r>
    </w:p>
    <w:p>
      <w:pPr>
        <w:adjustRightInd w:val="0"/>
        <w:snapToGrid w:val="0"/>
        <w:spacing w:after="0" w:line="600" w:lineRule="exact"/>
        <w:ind w:right="7"/>
        <w:rPr>
          <w:rFonts w:ascii="仿宋_GB2312" w:hAnsi="仿宋" w:eastAsia="仿宋_GB2312"/>
          <w:sz w:val="32"/>
          <w:szCs w:val="32"/>
        </w:rPr>
      </w:pPr>
      <w:r>
        <w:rPr>
          <w:rFonts w:ascii="仿宋_GB2312" w:hAnsi="仿宋" w:eastAsia="仿宋_GB2312"/>
          <w:sz w:val="32"/>
          <w:szCs w:val="32"/>
        </w:rPr>
        <w:t>51.</w:t>
      </w:r>
      <w:r>
        <w:rPr>
          <w:rFonts w:hint="eastAsia" w:ascii="仿宋_GB2312" w:hAnsi="仿宋" w:eastAsia="仿宋_GB2312"/>
          <w:sz w:val="32"/>
          <w:szCs w:val="32"/>
        </w:rPr>
        <w:t>向中标（成交）供应商提出不合理要求作为签订合同条件。</w:t>
      </w:r>
    </w:p>
    <w:p>
      <w:pPr>
        <w:adjustRightInd w:val="0"/>
        <w:snapToGrid w:val="0"/>
        <w:spacing w:after="0" w:line="600" w:lineRule="exact"/>
        <w:ind w:right="7"/>
        <w:rPr>
          <w:rFonts w:ascii="仿宋_GB2312" w:hAnsi="仿宋" w:eastAsia="仿宋_GB2312"/>
          <w:sz w:val="32"/>
          <w:szCs w:val="32"/>
        </w:rPr>
      </w:pPr>
      <w:r>
        <w:rPr>
          <w:rFonts w:ascii="仿宋_GB2312" w:hAnsi="仿宋" w:eastAsia="仿宋_GB2312"/>
          <w:sz w:val="32"/>
          <w:szCs w:val="32"/>
        </w:rPr>
        <w:t>52.</w:t>
      </w:r>
      <w:r>
        <w:rPr>
          <w:rFonts w:hint="eastAsia" w:ascii="仿宋_GB2312" w:hAnsi="仿宋" w:eastAsia="仿宋_GB2312"/>
          <w:sz w:val="32"/>
          <w:szCs w:val="32"/>
        </w:rPr>
        <w:t>未按照采购文件和中标（成交）供应商的响应文件确定</w:t>
      </w:r>
    </w:p>
    <w:p>
      <w:pPr>
        <w:adjustRightInd w:val="0"/>
        <w:snapToGrid w:val="0"/>
        <w:spacing w:line="600" w:lineRule="exact"/>
        <w:ind w:left="14" w:right="7" w:firstLine="0"/>
        <w:rPr>
          <w:rFonts w:ascii="仿宋_GB2312" w:hAnsi="仿宋" w:eastAsia="仿宋_GB2312"/>
          <w:sz w:val="32"/>
          <w:szCs w:val="32"/>
        </w:rPr>
      </w:pPr>
      <w:r>
        <w:rPr>
          <w:rFonts w:hint="eastAsia" w:ascii="仿宋_GB2312" w:hAnsi="仿宋" w:eastAsia="仿宋_GB2312"/>
          <w:sz w:val="32"/>
          <w:szCs w:val="32"/>
        </w:rPr>
        <w:t>的事项签订采购合同。</w:t>
      </w:r>
    </w:p>
    <w:p>
      <w:pPr>
        <w:adjustRightInd w:val="0"/>
        <w:snapToGrid w:val="0"/>
        <w:spacing w:after="3" w:line="600" w:lineRule="exact"/>
        <w:ind w:left="635" w:firstLine="0"/>
        <w:jc w:val="left"/>
        <w:rPr>
          <w:rFonts w:ascii="仿宋_GB2312" w:hAnsi="仿宋" w:eastAsia="仿宋_GB2312"/>
          <w:sz w:val="32"/>
          <w:szCs w:val="32"/>
        </w:rPr>
      </w:pPr>
      <w:r>
        <w:rPr>
          <w:rFonts w:ascii="仿宋_GB2312" w:hAnsi="仿宋" w:eastAsia="仿宋_GB2312"/>
          <w:sz w:val="32"/>
          <w:szCs w:val="32"/>
        </w:rPr>
        <w:t>53.</w:t>
      </w:r>
      <w:r>
        <w:rPr>
          <w:rFonts w:hint="eastAsia" w:ascii="仿宋_GB2312" w:hAnsi="仿宋" w:eastAsia="仿宋_GB2312"/>
          <w:sz w:val="32"/>
          <w:szCs w:val="32"/>
        </w:rPr>
        <w:t>擅自变更、中止或者终止合同。</w:t>
      </w:r>
    </w:p>
    <w:p>
      <w:pPr>
        <w:adjustRightInd w:val="0"/>
        <w:snapToGrid w:val="0"/>
        <w:spacing w:after="3" w:line="600" w:lineRule="exact"/>
        <w:ind w:left="635" w:firstLine="0"/>
        <w:jc w:val="left"/>
        <w:rPr>
          <w:rFonts w:ascii="仿宋_GB2312" w:hAnsi="仿宋" w:eastAsia="仿宋_GB2312"/>
          <w:sz w:val="32"/>
          <w:szCs w:val="32"/>
        </w:rPr>
      </w:pPr>
      <w:r>
        <w:rPr>
          <w:rFonts w:ascii="仿宋_GB2312" w:hAnsi="仿宋" w:eastAsia="仿宋_GB2312"/>
          <w:sz w:val="32"/>
          <w:szCs w:val="32"/>
        </w:rPr>
        <w:t>54.</w:t>
      </w:r>
      <w:r>
        <w:rPr>
          <w:rFonts w:hint="eastAsia" w:ascii="仿宋_GB2312" w:hAnsi="仿宋" w:eastAsia="仿宋_GB2312"/>
          <w:sz w:val="32"/>
          <w:szCs w:val="32"/>
        </w:rPr>
        <w:t>擅自分包。</w:t>
      </w:r>
    </w:p>
    <w:p>
      <w:pPr>
        <w:adjustRightInd w:val="0"/>
        <w:snapToGrid w:val="0"/>
        <w:spacing w:after="3" w:line="600" w:lineRule="exact"/>
        <w:jc w:val="left"/>
        <w:rPr>
          <w:rFonts w:ascii="仿宋_GB2312" w:hAnsi="仿宋" w:eastAsia="仿宋_GB2312"/>
          <w:sz w:val="32"/>
          <w:szCs w:val="32"/>
        </w:rPr>
      </w:pPr>
      <w:r>
        <w:rPr>
          <w:rFonts w:ascii="仿宋_GB2312" w:hAnsi="仿宋" w:eastAsia="仿宋_GB2312"/>
          <w:sz w:val="32"/>
          <w:szCs w:val="32"/>
        </w:rPr>
        <w:t>55.</w:t>
      </w:r>
      <w:r>
        <w:rPr>
          <w:rFonts w:hint="eastAsia" w:ascii="仿宋_GB2312" w:hAnsi="仿宋" w:eastAsia="仿宋_GB2312"/>
          <w:sz w:val="32"/>
          <w:szCs w:val="32"/>
        </w:rPr>
        <w:t>合同履行中追加与合同标的相同的货物、工程或者服务的采购金额超过原合同采购金额的10％。</w:t>
      </w:r>
    </w:p>
    <w:p>
      <w:pPr>
        <w:adjustRightInd w:val="0"/>
        <w:snapToGrid w:val="0"/>
        <w:spacing w:after="103" w:line="600" w:lineRule="exact"/>
        <w:jc w:val="left"/>
        <w:rPr>
          <w:rFonts w:ascii="仿宋_GB2312" w:hAnsi="仿宋" w:eastAsia="仿宋_GB2312"/>
          <w:sz w:val="32"/>
          <w:szCs w:val="32"/>
        </w:rPr>
      </w:pPr>
      <w:r>
        <w:rPr>
          <w:rFonts w:hint="eastAsia" w:ascii="仿宋_GB2312" w:hAnsi="仿宋" w:eastAsia="仿宋_GB2312"/>
          <w:sz w:val="32"/>
          <w:szCs w:val="32"/>
        </w:rPr>
        <w:t>5</w:t>
      </w:r>
      <w:r>
        <w:rPr>
          <w:rFonts w:ascii="仿宋_GB2312" w:hAnsi="仿宋" w:eastAsia="仿宋_GB2312"/>
          <w:sz w:val="32"/>
          <w:szCs w:val="32"/>
        </w:rPr>
        <w:t>6.</w:t>
      </w:r>
      <w:r>
        <w:rPr>
          <w:rFonts w:hint="eastAsia" w:ascii="仿宋_GB2312" w:hAnsi="仿宋" w:eastAsia="仿宋_GB2312"/>
          <w:sz w:val="32"/>
          <w:szCs w:val="32"/>
        </w:rPr>
        <w:t>未按照学校</w:t>
      </w:r>
      <w:r>
        <w:rPr>
          <w:rFonts w:eastAsia="仿宋_GB2312"/>
          <w:sz w:val="32"/>
          <w:szCs w:val="32"/>
        </w:rPr>
        <w:t>履约验收管理</w:t>
      </w:r>
      <w:r>
        <w:rPr>
          <w:rFonts w:hint="eastAsia" w:eastAsia="仿宋_GB2312"/>
          <w:sz w:val="32"/>
          <w:szCs w:val="32"/>
        </w:rPr>
        <w:t>相关规定组织</w:t>
      </w:r>
      <w:r>
        <w:rPr>
          <w:rFonts w:hint="eastAsia" w:ascii="仿宋_GB2312" w:hAnsi="仿宋" w:eastAsia="仿宋_GB2312"/>
          <w:sz w:val="32"/>
          <w:szCs w:val="32"/>
        </w:rPr>
        <w:t>验收小组（如：</w:t>
      </w:r>
      <w:r>
        <w:rPr>
          <w:rFonts w:eastAsia="仿宋_GB2312"/>
          <w:sz w:val="32"/>
          <w:szCs w:val="32"/>
        </w:rPr>
        <w:t>有质疑投诉举报的采购项目，</w:t>
      </w:r>
      <w:r>
        <w:rPr>
          <w:rFonts w:hint="eastAsia" w:eastAsia="仿宋_GB2312"/>
          <w:sz w:val="32"/>
          <w:szCs w:val="32"/>
        </w:rPr>
        <w:t>未</w:t>
      </w:r>
      <w:r>
        <w:rPr>
          <w:rFonts w:eastAsia="仿宋_GB2312"/>
          <w:sz w:val="32"/>
          <w:szCs w:val="32"/>
        </w:rPr>
        <w:t>邀请采购代理机构参加验收工作</w:t>
      </w:r>
      <w:r>
        <w:rPr>
          <w:rFonts w:hint="eastAsia" w:eastAsia="仿宋_GB2312"/>
          <w:sz w:val="32"/>
          <w:szCs w:val="32"/>
        </w:rPr>
        <w:t>等）</w:t>
      </w:r>
      <w:r>
        <w:rPr>
          <w:rFonts w:hint="eastAsia" w:ascii="仿宋_GB2312" w:hAnsi="仿宋" w:eastAsia="仿宋_GB2312"/>
          <w:sz w:val="32"/>
          <w:szCs w:val="32"/>
        </w:rPr>
        <w:t>。</w:t>
      </w:r>
    </w:p>
    <w:p>
      <w:pPr>
        <w:adjustRightInd w:val="0"/>
        <w:snapToGrid w:val="0"/>
        <w:spacing w:after="103" w:line="600" w:lineRule="exact"/>
        <w:jc w:val="left"/>
        <w:rPr>
          <w:rFonts w:ascii="仿宋_GB2312" w:hAnsi="仿宋" w:eastAsia="仿宋_GB2312"/>
          <w:sz w:val="32"/>
          <w:szCs w:val="32"/>
        </w:rPr>
      </w:pPr>
      <w:r>
        <w:rPr>
          <w:rFonts w:ascii="仿宋_GB2312" w:hAnsi="仿宋" w:eastAsia="仿宋_GB2312"/>
          <w:sz w:val="32"/>
          <w:szCs w:val="32"/>
        </w:rPr>
        <w:t>57.</w:t>
      </w:r>
      <w:r>
        <w:rPr>
          <w:rFonts w:hint="eastAsia" w:ascii="仿宋_GB2312" w:hAnsi="仿宋" w:eastAsia="仿宋_GB2312"/>
          <w:sz w:val="32"/>
          <w:szCs w:val="32"/>
        </w:rPr>
        <w:t>未按照采购合同规定的技术、服务、安全标准组织对供应商履约情况进行验收。</w:t>
      </w:r>
    </w:p>
    <w:p>
      <w:pPr>
        <w:adjustRightInd w:val="0"/>
        <w:snapToGrid w:val="0"/>
        <w:spacing w:after="103" w:line="600" w:lineRule="exact"/>
        <w:jc w:val="left"/>
        <w:rPr>
          <w:rFonts w:ascii="仿宋_GB2312" w:hAnsi="仿宋" w:eastAsia="仿宋_GB2312"/>
          <w:sz w:val="32"/>
          <w:szCs w:val="32"/>
        </w:rPr>
      </w:pPr>
      <w:r>
        <w:rPr>
          <w:rFonts w:ascii="仿宋_GB2312" w:hAnsi="仿宋" w:eastAsia="仿宋_GB2312"/>
          <w:sz w:val="32"/>
          <w:szCs w:val="32"/>
        </w:rPr>
        <w:t>58.</w:t>
      </w:r>
      <w:r>
        <w:rPr>
          <w:rFonts w:hint="eastAsia" w:ascii="仿宋_GB2312" w:hAnsi="仿宋" w:eastAsia="仿宋_GB2312"/>
          <w:sz w:val="32"/>
          <w:szCs w:val="32"/>
        </w:rPr>
        <w:t>未按照采购合同约定的时间和条件支付合同款或退还履约保证金。</w:t>
      </w:r>
    </w:p>
    <w:p>
      <w:pPr>
        <w:adjustRightInd w:val="0"/>
        <w:snapToGrid w:val="0"/>
        <w:spacing w:after="103" w:line="600" w:lineRule="exact"/>
        <w:jc w:val="left"/>
        <w:rPr>
          <w:rFonts w:ascii="仿宋_GB2312" w:hAnsi="仿宋" w:eastAsia="仿宋_GB2312"/>
          <w:sz w:val="32"/>
          <w:szCs w:val="32"/>
        </w:rPr>
      </w:pPr>
      <w:r>
        <w:rPr>
          <w:rFonts w:hint="eastAsia" w:ascii="仿宋_GB2312" w:hAnsi="仿宋" w:eastAsia="仿宋_GB2312"/>
          <w:sz w:val="32"/>
          <w:szCs w:val="32"/>
        </w:rPr>
        <w:t>五、其他禁止行为</w:t>
      </w:r>
    </w:p>
    <w:p>
      <w:pPr>
        <w:adjustRightInd w:val="0"/>
        <w:snapToGrid w:val="0"/>
        <w:spacing w:after="103" w:line="600" w:lineRule="exact"/>
        <w:jc w:val="left"/>
        <w:rPr>
          <w:rFonts w:eastAsia="仿宋_GB2312"/>
          <w:sz w:val="32"/>
          <w:szCs w:val="32"/>
        </w:rPr>
      </w:pPr>
      <w:r>
        <w:rPr>
          <w:rFonts w:hint="eastAsia" w:ascii="仿宋_GB2312" w:hAnsi="仿宋" w:eastAsia="仿宋_GB2312"/>
          <w:sz w:val="32"/>
          <w:szCs w:val="32"/>
        </w:rPr>
        <w:t>5</w:t>
      </w:r>
      <w:r>
        <w:rPr>
          <w:rFonts w:ascii="仿宋_GB2312" w:hAnsi="仿宋" w:eastAsia="仿宋_GB2312"/>
          <w:sz w:val="32"/>
          <w:szCs w:val="32"/>
        </w:rPr>
        <w:t>9.</w:t>
      </w:r>
      <w:r>
        <w:rPr>
          <w:rFonts w:eastAsia="仿宋_GB2312"/>
          <w:sz w:val="32"/>
          <w:szCs w:val="32"/>
        </w:rPr>
        <w:t>自收到询问后</w:t>
      </w:r>
      <w:r>
        <w:rPr>
          <w:rFonts w:hint="eastAsia" w:eastAsia="仿宋_GB2312"/>
          <w:sz w:val="32"/>
          <w:szCs w:val="32"/>
        </w:rPr>
        <w:t>三</w:t>
      </w:r>
      <w:r>
        <w:rPr>
          <w:rFonts w:eastAsia="仿宋_GB2312"/>
          <w:sz w:val="32"/>
          <w:szCs w:val="32"/>
        </w:rPr>
        <w:t>个工作日内</w:t>
      </w:r>
      <w:r>
        <w:rPr>
          <w:rFonts w:hint="eastAsia" w:ascii="仿宋_GB2312" w:hAnsi="仿宋" w:eastAsia="仿宋_GB2312"/>
          <w:sz w:val="32"/>
          <w:szCs w:val="32"/>
        </w:rPr>
        <w:t>未作出答复。</w:t>
      </w:r>
    </w:p>
    <w:p>
      <w:pPr>
        <w:adjustRightInd w:val="0"/>
        <w:snapToGrid w:val="0"/>
        <w:spacing w:after="103" w:line="600" w:lineRule="exact"/>
        <w:jc w:val="left"/>
        <w:rPr>
          <w:rFonts w:ascii="仿宋_GB2312" w:hAnsi="仿宋" w:eastAsia="仿宋_GB2312"/>
          <w:sz w:val="32"/>
          <w:szCs w:val="32"/>
        </w:rPr>
      </w:pPr>
      <w:r>
        <w:rPr>
          <w:rFonts w:ascii="仿宋_GB2312" w:hAnsi="仿宋" w:eastAsia="仿宋_GB2312"/>
          <w:sz w:val="32"/>
          <w:szCs w:val="32"/>
        </w:rPr>
        <w:t>60.</w:t>
      </w:r>
      <w:r>
        <w:rPr>
          <w:rFonts w:eastAsia="仿宋_GB2312"/>
          <w:sz w:val="32"/>
          <w:szCs w:val="32"/>
        </w:rPr>
        <w:t>自收到</w:t>
      </w:r>
      <w:r>
        <w:rPr>
          <w:rFonts w:hint="eastAsia" w:ascii="仿宋_GB2312" w:hAnsi="仿宋" w:eastAsia="仿宋_GB2312"/>
          <w:sz w:val="32"/>
          <w:szCs w:val="32"/>
        </w:rPr>
        <w:t>质疑函后七个工作日内未作出答复。</w:t>
      </w:r>
    </w:p>
    <w:p>
      <w:pPr>
        <w:adjustRightInd w:val="0"/>
        <w:snapToGrid w:val="0"/>
        <w:spacing w:after="68" w:line="600" w:lineRule="exact"/>
        <w:ind w:left="14" w:right="7" w:firstLine="640" w:firstLineChars="200"/>
        <w:rPr>
          <w:rFonts w:ascii="仿宋_GB2312" w:hAnsi="仿宋" w:eastAsia="仿宋_GB2312"/>
          <w:sz w:val="32"/>
          <w:szCs w:val="32"/>
        </w:rPr>
      </w:pPr>
      <w:r>
        <w:rPr>
          <w:rFonts w:ascii="仿宋_GB2312" w:hAnsi="仿宋" w:eastAsia="仿宋_GB2312"/>
          <w:sz w:val="32"/>
          <w:szCs w:val="32"/>
        </w:rPr>
        <w:t>61.</w:t>
      </w:r>
      <w:r>
        <w:rPr>
          <w:rFonts w:hint="eastAsia" w:ascii="仿宋_GB2312" w:hAnsi="仿宋" w:eastAsia="仿宋_GB2312"/>
          <w:sz w:val="32"/>
          <w:szCs w:val="32"/>
        </w:rPr>
        <w:t>拒不履行配合答复供应商询问、质疑、投诉等法定义务。</w:t>
      </w:r>
    </w:p>
    <w:p>
      <w:pPr>
        <w:adjustRightInd w:val="0"/>
        <w:snapToGrid w:val="0"/>
        <w:spacing w:after="3" w:line="600" w:lineRule="exact"/>
        <w:ind w:right="7"/>
        <w:rPr>
          <w:rFonts w:ascii="仿宋_GB2312" w:hAnsi="仿宋" w:eastAsia="仿宋_GB2312"/>
          <w:sz w:val="32"/>
          <w:szCs w:val="32"/>
        </w:rPr>
      </w:pPr>
      <w:r>
        <w:rPr>
          <w:rFonts w:hint="eastAsia" w:ascii="仿宋_GB2312" w:hAnsi="仿宋" w:eastAsia="仿宋_GB2312"/>
          <w:sz w:val="32"/>
          <w:szCs w:val="32"/>
        </w:rPr>
        <w:drawing>
          <wp:anchor distT="0" distB="0" distL="114300" distR="114300" simplePos="0" relativeHeight="251666432" behindDoc="0" locked="0" layoutInCell="1" allowOverlap="0">
            <wp:simplePos x="0" y="0"/>
            <wp:positionH relativeFrom="page">
              <wp:posOffset>7113270</wp:posOffset>
            </wp:positionH>
            <wp:positionV relativeFrom="page">
              <wp:posOffset>2905125</wp:posOffset>
            </wp:positionV>
            <wp:extent cx="36830" cy="41275"/>
            <wp:effectExtent l="0" t="0" r="0" b="0"/>
            <wp:wrapSquare wrapText="bothSides"/>
            <wp:docPr id="14255" name="Picture 14255"/>
            <wp:cNvGraphicFramePr/>
            <a:graphic xmlns:a="http://schemas.openxmlformats.org/drawingml/2006/main">
              <a:graphicData uri="http://schemas.openxmlformats.org/drawingml/2006/picture">
                <pic:pic xmlns:pic="http://schemas.openxmlformats.org/drawingml/2006/picture">
                  <pic:nvPicPr>
                    <pic:cNvPr id="14255" name="Picture 14255"/>
                    <pic:cNvPicPr/>
                  </pic:nvPicPr>
                  <pic:blipFill>
                    <a:blip r:embed="rId16"/>
                    <a:stretch>
                      <a:fillRect/>
                    </a:stretch>
                  </pic:blipFill>
                  <pic:spPr>
                    <a:xfrm>
                      <a:off x="0" y="0"/>
                      <a:ext cx="36550" cy="41115"/>
                    </a:xfrm>
                    <a:prstGeom prst="rect">
                      <a:avLst/>
                    </a:prstGeom>
                  </pic:spPr>
                </pic:pic>
              </a:graphicData>
            </a:graphic>
          </wp:anchor>
        </w:drawing>
      </w:r>
      <w:r>
        <w:rPr>
          <w:rFonts w:ascii="仿宋_GB2312" w:hAnsi="仿宋" w:eastAsia="仿宋_GB2312"/>
          <w:sz w:val="32"/>
          <w:szCs w:val="32"/>
        </w:rPr>
        <w:t>62.</w:t>
      </w:r>
      <w:r>
        <w:rPr>
          <w:rFonts w:hint="eastAsia" w:ascii="仿宋_GB2312" w:hAnsi="仿宋" w:eastAsia="仿宋_GB2312"/>
          <w:sz w:val="32"/>
          <w:szCs w:val="32"/>
        </w:rPr>
        <w:t>中标（成交）通知书发出后，通过对样品进行检测、对供应商进行考察等方式违法改变评审结果。</w:t>
      </w:r>
    </w:p>
    <w:p>
      <w:pPr>
        <w:adjustRightInd w:val="0"/>
        <w:snapToGrid w:val="0"/>
        <w:spacing w:after="0" w:line="600" w:lineRule="exact"/>
        <w:ind w:right="7"/>
        <w:rPr>
          <w:rFonts w:ascii="仿宋_GB2312" w:hAnsi="仿宋" w:eastAsia="仿宋_GB2312"/>
          <w:sz w:val="32"/>
          <w:szCs w:val="32"/>
        </w:rPr>
      </w:pPr>
      <w:r>
        <w:rPr>
          <w:rFonts w:ascii="仿宋_GB2312" w:hAnsi="仿宋" w:eastAsia="仿宋_GB2312"/>
          <w:sz w:val="32"/>
          <w:szCs w:val="32"/>
        </w:rPr>
        <w:t>63.</w:t>
      </w:r>
      <w:r>
        <w:rPr>
          <w:rFonts w:hint="eastAsia" w:ascii="仿宋_GB2312" w:hAnsi="仿宋" w:eastAsia="仿宋_GB2312"/>
          <w:sz w:val="32"/>
          <w:szCs w:val="32"/>
        </w:rPr>
        <w:t>索要或者接受供应商给予的赠品、回扣或者与采购无关的其他商品、服务。</w:t>
      </w:r>
    </w:p>
    <w:p>
      <w:pPr>
        <w:adjustRightInd w:val="0"/>
        <w:snapToGrid w:val="0"/>
        <w:spacing w:after="0" w:line="600" w:lineRule="exact"/>
        <w:ind w:right="7"/>
        <w:rPr>
          <w:rFonts w:ascii="仿宋_GB2312" w:hAnsi="仿宋" w:eastAsia="仿宋_GB2312"/>
          <w:sz w:val="32"/>
          <w:szCs w:val="32"/>
        </w:rPr>
      </w:pPr>
      <w:r>
        <w:rPr>
          <w:rFonts w:ascii="仿宋_GB2312" w:hAnsi="仿宋" w:eastAsia="仿宋_GB2312"/>
          <w:sz w:val="32"/>
          <w:szCs w:val="32"/>
        </w:rPr>
        <w:t>64.</w:t>
      </w:r>
      <w:r>
        <w:rPr>
          <w:rFonts w:hint="eastAsia" w:ascii="仿宋_GB2312" w:hAnsi="仿宋" w:eastAsia="仿宋_GB2312"/>
          <w:sz w:val="32"/>
          <w:szCs w:val="32"/>
        </w:rPr>
        <w:t>泄露已获取采购文件的供应商信息、评审专家信息或者其他可能影响公平竞争的有关招标投标情况。</w:t>
      </w:r>
    </w:p>
    <w:p>
      <w:pPr>
        <w:adjustRightInd w:val="0"/>
        <w:snapToGrid w:val="0"/>
        <w:spacing w:after="0" w:line="600" w:lineRule="exact"/>
        <w:ind w:right="7"/>
        <w:rPr>
          <w:rFonts w:ascii="仿宋_GB2312" w:hAnsi="仿宋" w:eastAsia="仿宋_GB2312"/>
          <w:sz w:val="32"/>
          <w:szCs w:val="32"/>
        </w:rPr>
      </w:pPr>
      <w:r>
        <w:rPr>
          <w:rFonts w:ascii="仿宋_GB2312" w:hAnsi="仿宋" w:eastAsia="仿宋_GB2312"/>
          <w:sz w:val="32"/>
          <w:szCs w:val="32"/>
        </w:rPr>
        <w:t>65.</w:t>
      </w:r>
      <w:r>
        <w:rPr>
          <w:rFonts w:hint="eastAsia" w:ascii="仿宋_GB2312" w:hAnsi="仿宋" w:eastAsia="仿宋_GB2312"/>
          <w:sz w:val="32"/>
          <w:szCs w:val="32"/>
        </w:rPr>
        <w:t>泄露评审情况以及评审过程中获悉的国家秘密、商业秘密。</w:t>
      </w:r>
    </w:p>
    <w:p>
      <w:pPr>
        <w:adjustRightInd w:val="0"/>
        <w:snapToGrid w:val="0"/>
        <w:spacing w:after="3" w:line="600" w:lineRule="exact"/>
        <w:ind w:left="672" w:hanging="10"/>
        <w:jc w:val="left"/>
        <w:rPr>
          <w:rFonts w:ascii="仿宋_GB2312" w:hAnsi="仿宋" w:eastAsia="仿宋_GB2312"/>
          <w:sz w:val="32"/>
          <w:szCs w:val="32"/>
        </w:rPr>
      </w:pPr>
      <w:r>
        <w:rPr>
          <w:rFonts w:ascii="仿宋_GB2312" w:hAnsi="仿宋" w:eastAsia="仿宋_GB2312"/>
          <w:sz w:val="32"/>
          <w:szCs w:val="32"/>
        </w:rPr>
        <w:t>66.</w:t>
      </w:r>
      <w:r>
        <w:rPr>
          <w:rFonts w:hint="eastAsia" w:ascii="仿宋_GB2312" w:hAnsi="仿宋" w:eastAsia="仿宋_GB2312"/>
          <w:sz w:val="32"/>
          <w:szCs w:val="32"/>
        </w:rPr>
        <w:t>非因重大变故擅自终止或取消采购活动。</w:t>
      </w:r>
    </w:p>
    <w:p>
      <w:pPr>
        <w:adjustRightInd w:val="0"/>
        <w:snapToGrid w:val="0"/>
        <w:spacing w:line="600" w:lineRule="exact"/>
        <w:ind w:left="14" w:right="7"/>
        <w:rPr>
          <w:rFonts w:ascii="仿宋_GB2312" w:eastAsia="仿宋_GB2312"/>
          <w:sz w:val="32"/>
          <w:szCs w:val="32"/>
        </w:rPr>
      </w:pPr>
    </w:p>
    <w:sectPr>
      <w:pgSz w:w="11900" w:h="16820"/>
      <w:pgMar w:top="2003" w:right="1194" w:bottom="1295" w:left="1791"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27" w:lineRule="auto"/>
      </w:pPr>
      <w:r>
        <w:separator/>
      </w:r>
    </w:p>
  </w:footnote>
  <w:footnote w:type="continuationSeparator" w:id="1">
    <w:p>
      <w:pPr>
        <w:spacing w:before="0" w:after="0" w:line="227"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57390"/>
    <w:multiLevelType w:val="multilevel"/>
    <w:tmpl w:val="05857390"/>
    <w:lvl w:ilvl="0" w:tentative="0">
      <w:start w:val="1"/>
      <w:numFmt w:val="japaneseCounting"/>
      <w:lvlText w:val="（%1）"/>
      <w:lvlJc w:val="left"/>
      <w:pPr>
        <w:ind w:left="1850" w:hanging="1080"/>
      </w:pPr>
      <w:rPr>
        <w:rFonts w:hint="default"/>
      </w:rPr>
    </w:lvl>
    <w:lvl w:ilvl="1" w:tentative="0">
      <w:start w:val="1"/>
      <w:numFmt w:val="lowerLetter"/>
      <w:lvlText w:val="%2)"/>
      <w:lvlJc w:val="left"/>
      <w:pPr>
        <w:ind w:left="1610" w:hanging="420"/>
      </w:pPr>
    </w:lvl>
    <w:lvl w:ilvl="2" w:tentative="0">
      <w:start w:val="1"/>
      <w:numFmt w:val="lowerRoman"/>
      <w:lvlText w:val="%3."/>
      <w:lvlJc w:val="right"/>
      <w:pPr>
        <w:ind w:left="2030" w:hanging="420"/>
      </w:pPr>
    </w:lvl>
    <w:lvl w:ilvl="3" w:tentative="0">
      <w:start w:val="1"/>
      <w:numFmt w:val="decimal"/>
      <w:lvlText w:val="%4."/>
      <w:lvlJc w:val="left"/>
      <w:pPr>
        <w:ind w:left="2450" w:hanging="420"/>
      </w:pPr>
    </w:lvl>
    <w:lvl w:ilvl="4" w:tentative="0">
      <w:start w:val="1"/>
      <w:numFmt w:val="lowerLetter"/>
      <w:lvlText w:val="%5)"/>
      <w:lvlJc w:val="left"/>
      <w:pPr>
        <w:ind w:left="2870" w:hanging="420"/>
      </w:pPr>
    </w:lvl>
    <w:lvl w:ilvl="5" w:tentative="0">
      <w:start w:val="1"/>
      <w:numFmt w:val="lowerRoman"/>
      <w:lvlText w:val="%6."/>
      <w:lvlJc w:val="right"/>
      <w:pPr>
        <w:ind w:left="3290" w:hanging="420"/>
      </w:pPr>
    </w:lvl>
    <w:lvl w:ilvl="6" w:tentative="0">
      <w:start w:val="1"/>
      <w:numFmt w:val="decimal"/>
      <w:lvlText w:val="%7."/>
      <w:lvlJc w:val="left"/>
      <w:pPr>
        <w:ind w:left="3710" w:hanging="420"/>
      </w:pPr>
    </w:lvl>
    <w:lvl w:ilvl="7" w:tentative="0">
      <w:start w:val="1"/>
      <w:numFmt w:val="lowerLetter"/>
      <w:lvlText w:val="%8)"/>
      <w:lvlJc w:val="left"/>
      <w:pPr>
        <w:ind w:left="4130" w:hanging="420"/>
      </w:pPr>
    </w:lvl>
    <w:lvl w:ilvl="8" w:tentative="0">
      <w:start w:val="1"/>
      <w:numFmt w:val="lowerRoman"/>
      <w:lvlText w:val="%9."/>
      <w:lvlJc w:val="right"/>
      <w:pPr>
        <w:ind w:left="4550" w:hanging="420"/>
      </w:pPr>
    </w:lvl>
  </w:abstractNum>
  <w:abstractNum w:abstractNumId="1">
    <w:nsid w:val="2AE01BFF"/>
    <w:multiLevelType w:val="multilevel"/>
    <w:tmpl w:val="2AE01BFF"/>
    <w:lvl w:ilvl="0" w:tentative="0">
      <w:start w:val="4"/>
      <w:numFmt w:val="japaneseCounting"/>
      <w:lvlText w:val="%1、"/>
      <w:lvlJc w:val="left"/>
      <w:pPr>
        <w:ind w:left="1350" w:hanging="72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mirrorMargins w:val="1"/>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C79"/>
    <w:rsid w:val="000020EA"/>
    <w:rsid w:val="0007530A"/>
    <w:rsid w:val="000C0144"/>
    <w:rsid w:val="000D14D9"/>
    <w:rsid w:val="000E27DE"/>
    <w:rsid w:val="00150BEC"/>
    <w:rsid w:val="0016440D"/>
    <w:rsid w:val="00164C60"/>
    <w:rsid w:val="0016608B"/>
    <w:rsid w:val="001A4C79"/>
    <w:rsid w:val="001C11E3"/>
    <w:rsid w:val="001D0C9D"/>
    <w:rsid w:val="00216631"/>
    <w:rsid w:val="0022236D"/>
    <w:rsid w:val="00264024"/>
    <w:rsid w:val="00294793"/>
    <w:rsid w:val="0031668F"/>
    <w:rsid w:val="00334888"/>
    <w:rsid w:val="00350A8E"/>
    <w:rsid w:val="00352B91"/>
    <w:rsid w:val="003837D6"/>
    <w:rsid w:val="003A57F9"/>
    <w:rsid w:val="003B1018"/>
    <w:rsid w:val="003B6C47"/>
    <w:rsid w:val="003F6A0F"/>
    <w:rsid w:val="00470C12"/>
    <w:rsid w:val="00485F07"/>
    <w:rsid w:val="004F37B4"/>
    <w:rsid w:val="004F5BFD"/>
    <w:rsid w:val="0057586C"/>
    <w:rsid w:val="005E6E41"/>
    <w:rsid w:val="00665CFB"/>
    <w:rsid w:val="006A215B"/>
    <w:rsid w:val="00705F51"/>
    <w:rsid w:val="007733A5"/>
    <w:rsid w:val="008020BF"/>
    <w:rsid w:val="008C2851"/>
    <w:rsid w:val="008E0136"/>
    <w:rsid w:val="008E02E0"/>
    <w:rsid w:val="00A2139C"/>
    <w:rsid w:val="00A21828"/>
    <w:rsid w:val="00A24110"/>
    <w:rsid w:val="00A903B4"/>
    <w:rsid w:val="00AA1F15"/>
    <w:rsid w:val="00AA5DF3"/>
    <w:rsid w:val="00AD2454"/>
    <w:rsid w:val="00AD7657"/>
    <w:rsid w:val="00B471D1"/>
    <w:rsid w:val="00B52879"/>
    <w:rsid w:val="00BB680B"/>
    <w:rsid w:val="00BC5CD5"/>
    <w:rsid w:val="00C001B1"/>
    <w:rsid w:val="00C257FF"/>
    <w:rsid w:val="00C623CB"/>
    <w:rsid w:val="00C8050E"/>
    <w:rsid w:val="00D135FB"/>
    <w:rsid w:val="00DD3A28"/>
    <w:rsid w:val="00E10CAA"/>
    <w:rsid w:val="00E35F81"/>
    <w:rsid w:val="00E70237"/>
    <w:rsid w:val="00E82559"/>
    <w:rsid w:val="00ED6F95"/>
    <w:rsid w:val="00F20A41"/>
    <w:rsid w:val="00FA65BE"/>
    <w:rsid w:val="3AF032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45" w:line="227" w:lineRule="auto"/>
      <w:ind w:firstLine="630"/>
      <w:jc w:val="both"/>
    </w:pPr>
    <w:rPr>
      <w:rFonts w:ascii="微软雅黑" w:hAnsi="微软雅黑" w:eastAsia="微软雅黑" w:cs="微软雅黑"/>
      <w:color w:val="000000"/>
      <w:kern w:val="2"/>
      <w:sz w:val="30"/>
      <w:szCs w:val="22"/>
      <w:lang w:val="en-US" w:eastAsia="zh-CN" w:bidi="ar-SA"/>
    </w:rPr>
  </w:style>
  <w:style w:type="paragraph" w:styleId="2">
    <w:name w:val="heading 1"/>
    <w:next w:val="1"/>
    <w:link w:val="7"/>
    <w:qFormat/>
    <w:uiPriority w:val="9"/>
    <w:pPr>
      <w:keepNext/>
      <w:keepLines/>
      <w:spacing w:after="412" w:line="216" w:lineRule="auto"/>
      <w:ind w:left="222" w:right="227" w:hanging="10"/>
      <w:jc w:val="center"/>
      <w:outlineLvl w:val="0"/>
    </w:pPr>
    <w:rPr>
      <w:rFonts w:ascii="微软雅黑" w:hAnsi="微软雅黑" w:eastAsia="微软雅黑" w:cs="微软雅黑"/>
      <w:color w:val="000000"/>
      <w:kern w:val="2"/>
      <w:sz w:val="44"/>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spacing w:line="240" w:lineRule="auto"/>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character" w:customStyle="1" w:styleId="7">
    <w:name w:val="标题 1 字符"/>
    <w:link w:val="2"/>
    <w:uiPriority w:val="0"/>
    <w:rPr>
      <w:rFonts w:ascii="微软雅黑" w:hAnsi="微软雅黑" w:eastAsia="微软雅黑" w:cs="微软雅黑"/>
      <w:color w:val="000000"/>
      <w:sz w:val="44"/>
    </w:rPr>
  </w:style>
  <w:style w:type="paragraph" w:styleId="8">
    <w:name w:val="List Paragraph"/>
    <w:basedOn w:val="1"/>
    <w:qFormat/>
    <w:uiPriority w:val="34"/>
    <w:pPr>
      <w:ind w:firstLine="420" w:firstLineChars="200"/>
    </w:pPr>
  </w:style>
  <w:style w:type="character" w:customStyle="1" w:styleId="9">
    <w:name w:val="页眉 字符"/>
    <w:basedOn w:val="6"/>
    <w:link w:val="4"/>
    <w:qFormat/>
    <w:uiPriority w:val="99"/>
    <w:rPr>
      <w:rFonts w:ascii="微软雅黑" w:hAnsi="微软雅黑" w:eastAsia="微软雅黑" w:cs="微软雅黑"/>
      <w:color w:val="000000"/>
      <w:sz w:val="18"/>
      <w:szCs w:val="18"/>
    </w:rPr>
  </w:style>
  <w:style w:type="character" w:customStyle="1" w:styleId="10">
    <w:name w:val="页脚 字符"/>
    <w:basedOn w:val="6"/>
    <w:link w:val="3"/>
    <w:qFormat/>
    <w:uiPriority w:val="99"/>
    <w:rPr>
      <w:rFonts w:ascii="微软雅黑" w:hAnsi="微软雅黑" w:eastAsia="微软雅黑" w:cs="微软雅黑"/>
      <w:color w:val="00000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jpeg"/><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2616</Words>
  <Characters>2751</Characters>
  <Lines>20</Lines>
  <Paragraphs>5</Paragraphs>
  <TotalTime>191</TotalTime>
  <ScaleCrop>false</ScaleCrop>
  <LinksUpToDate>false</LinksUpToDate>
  <CharactersWithSpaces>2801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2021-11-08T01:01:00Z</dcterms:created>
  <dc:creator>杨清</dc:creator>
  <cp:lastModifiedBy>六喜安全</cp:lastModifiedBy>
  <dcterms:modified xsi:type="dcterms:W3CDTF">2022-03-31T14:10:27Z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49C8539620654CCFBFAD6A3C64E99B42</vt:lpwstr>
  </property>
</Properties>
</file>