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招标编号：SCMX-SC-2024-1071</w:t>
      </w:r>
    </w:p>
    <w:p>
      <w:pPr>
        <w:spacing w:line="240" w:lineRule="auto"/>
        <w:rPr>
          <w:color w:val="auto"/>
          <w:highlight w:val="none"/>
        </w:rPr>
      </w:pPr>
    </w:p>
    <w:p>
      <w:pPr>
        <w:spacing w:line="240" w:lineRule="auto"/>
        <w:rPr>
          <w:color w:val="auto"/>
          <w:highlight w:val="none"/>
        </w:rPr>
      </w:pPr>
    </w:p>
    <w:p>
      <w:pPr>
        <w:spacing w:line="240" w:lineRule="auto"/>
        <w:jc w:val="center"/>
        <w:rPr>
          <w:rFonts w:ascii="宋体" w:hAnsi="宋体" w:eastAsia="宋体" w:cs="宋体"/>
          <w:color w:val="auto"/>
          <w:spacing w:val="16"/>
          <w:sz w:val="47"/>
          <w:szCs w:val="47"/>
          <w:highlight w:val="none"/>
          <w14:textOutline w14:w="8712" w14:cap="sq" w14:cmpd="sng" w14:algn="ctr">
            <w14:solidFill>
              <w14:srgbClr w14:val="000000"/>
            </w14:solidFill>
            <w14:prstDash w14:val="solid"/>
            <w14:bevel/>
          </w14:textOutline>
        </w:rPr>
      </w:pPr>
    </w:p>
    <w:p>
      <w:pPr>
        <w:spacing w:line="240" w:lineRule="auto"/>
        <w:ind w:firstLine="883" w:firstLineChars="20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成都市技师学院（成都工贸职业技术学院）2024级学生军训服采购项目</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jc w:val="center"/>
        <w:rPr>
          <w:rFonts w:hint="eastAsia" w:eastAsia="宋体"/>
          <w:b/>
          <w:bCs/>
          <w:color w:val="auto"/>
          <w:sz w:val="72"/>
          <w:szCs w:val="72"/>
          <w:highlight w:val="none"/>
          <w:lang w:val="en-US" w:eastAsia="zh-CN"/>
        </w:rPr>
      </w:pPr>
      <w:r>
        <w:rPr>
          <w:rFonts w:hint="eastAsia" w:eastAsia="宋体"/>
          <w:b/>
          <w:bCs/>
          <w:color w:val="auto"/>
          <w:sz w:val="72"/>
          <w:szCs w:val="72"/>
          <w:highlight w:val="none"/>
          <w:lang w:val="en-US" w:eastAsia="zh-CN"/>
        </w:rPr>
        <w:t>招标文件</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四川</w:t>
      </w:r>
      <w:r>
        <w:rPr>
          <w:rFonts w:hint="eastAsia" w:ascii="宋体" w:hAnsi="宋体" w:eastAsia="宋体" w:cs="宋体"/>
          <w:b/>
          <w:bCs/>
          <w:color w:val="auto"/>
          <w:sz w:val="28"/>
          <w:szCs w:val="28"/>
          <w:highlight w:val="none"/>
        </w:rPr>
        <w:t xml:space="preserve"> · </w:t>
      </w:r>
      <w:r>
        <w:rPr>
          <w:rFonts w:hint="eastAsia" w:ascii="宋体" w:hAnsi="宋体" w:eastAsia="宋体" w:cs="宋体"/>
          <w:b/>
          <w:bCs/>
          <w:color w:val="auto"/>
          <w:sz w:val="28"/>
          <w:szCs w:val="28"/>
          <w:highlight w:val="none"/>
          <w:lang w:eastAsia="zh-CN"/>
        </w:rPr>
        <w:t>成都</w:t>
      </w:r>
    </w:p>
    <w:p>
      <w:pPr>
        <w:spacing w:line="240" w:lineRule="auto"/>
        <w:ind w:firstLine="3168" w:firstLineChars="1127"/>
        <w:jc w:val="both"/>
        <w:rPr>
          <w:rFonts w:hint="eastAsia" w:ascii="宋体" w:hAnsi="宋体" w:eastAsia="宋体" w:cs="宋体"/>
          <w:b/>
          <w:bCs/>
          <w:color w:val="auto"/>
          <w:sz w:val="28"/>
          <w:szCs w:val="28"/>
          <w:highlight w:val="none"/>
          <w:lang w:eastAsia="zh-CN"/>
        </w:rPr>
      </w:pPr>
      <w:bookmarkStart w:id="0" w:name="_Toc21667"/>
      <w:r>
        <w:rPr>
          <w:rFonts w:hint="eastAsia" w:ascii="宋体" w:hAnsi="宋体" w:eastAsia="宋体" w:cs="宋体"/>
          <w:b/>
          <w:bCs/>
          <w:color w:val="auto"/>
          <w:sz w:val="28"/>
          <w:szCs w:val="28"/>
          <w:highlight w:val="none"/>
        </w:rPr>
        <w:t>招标人：</w:t>
      </w:r>
      <w:bookmarkEnd w:id="0"/>
      <w:r>
        <w:rPr>
          <w:rFonts w:hint="eastAsia" w:ascii="宋体" w:hAnsi="宋体" w:eastAsia="宋体" w:cs="宋体"/>
          <w:b/>
          <w:bCs/>
          <w:color w:val="auto"/>
          <w:sz w:val="28"/>
          <w:szCs w:val="28"/>
          <w:highlight w:val="none"/>
          <w:lang w:eastAsia="zh-CN"/>
        </w:rPr>
        <w:t>成都市技师学院</w:t>
      </w:r>
      <w:r>
        <w:rPr>
          <w:rFonts w:hint="eastAsia" w:ascii="仿宋_GB2312" w:hAnsi="仿宋_GB2312" w:eastAsia="仿宋_GB2312" w:cs="仿宋_GB2312"/>
          <w:bCs/>
          <w:szCs w:val="32"/>
          <w:u w:val="single"/>
        </w:rPr>
        <w:t>（成都工贸职业技术学院</w:t>
      </w:r>
      <w:r>
        <w:rPr>
          <w:rFonts w:hint="eastAsia" w:ascii="仿宋_GB2312" w:hAnsi="仿宋_GB2312" w:eastAsia="仿宋_GB2312" w:cs="仿宋_GB2312"/>
          <w:bCs/>
          <w:szCs w:val="32"/>
          <w:u w:val="single"/>
          <w:lang w:eastAsia="zh-CN"/>
        </w:rPr>
        <w:t>）</w:t>
      </w:r>
    </w:p>
    <w:p>
      <w:pPr>
        <w:spacing w:line="240" w:lineRule="auto"/>
        <w:jc w:val="center"/>
        <w:rPr>
          <w:rFonts w:hint="default" w:ascii="宋体" w:hAnsi="宋体" w:eastAsia="宋体" w:cs="宋体"/>
          <w:b/>
          <w:bCs/>
          <w:color w:val="auto"/>
          <w:sz w:val="28"/>
          <w:szCs w:val="28"/>
          <w:highlight w:val="none"/>
          <w:lang w:val="en-US" w:eastAsia="zh-CN"/>
        </w:rPr>
      </w:pPr>
      <w:bookmarkStart w:id="1" w:name="_Toc8024"/>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招标代理机构：</w:t>
      </w:r>
      <w:bookmarkEnd w:id="1"/>
      <w:r>
        <w:rPr>
          <w:rFonts w:hint="eastAsia" w:ascii="宋体" w:hAnsi="宋体" w:eastAsia="宋体" w:cs="宋体"/>
          <w:b/>
          <w:bCs/>
          <w:color w:val="auto"/>
          <w:sz w:val="28"/>
          <w:szCs w:val="28"/>
          <w:highlight w:val="none"/>
          <w:lang w:val="en-US" w:eastAsia="zh-CN"/>
        </w:rPr>
        <w:t>四川铭信工程招标咨询有限公司</w:t>
      </w:r>
    </w:p>
    <w:p>
      <w:pPr>
        <w:spacing w:line="24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共同编制</w:t>
      </w:r>
    </w:p>
    <w:p>
      <w:pPr>
        <w:spacing w:line="240" w:lineRule="auto"/>
        <w:ind w:firstLine="562" w:firstLineChars="200"/>
        <w:jc w:val="center"/>
        <w:rPr>
          <w:color w:val="auto"/>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月</w:t>
      </w:r>
    </w:p>
    <w:p>
      <w:pPr>
        <w:spacing w:line="240" w:lineRule="auto"/>
        <w:rPr>
          <w:color w:val="auto"/>
          <w:highlight w:val="none"/>
        </w:rPr>
      </w:pPr>
    </w:p>
    <w:sdt>
      <w:sdtPr>
        <w:rPr>
          <w:rFonts w:ascii="宋体" w:hAnsi="宋体" w:eastAsia="宋体"/>
          <w:color w:val="auto"/>
          <w:sz w:val="36"/>
          <w:szCs w:val="36"/>
          <w:highlight w:val="none"/>
        </w:rPr>
        <w:id w:val="147468591"/>
        <w15:color w:val="DBDBDB"/>
        <w:docPartObj>
          <w:docPartGallery w:val="Table of Contents"/>
          <w:docPartUnique/>
        </w:docPartObj>
      </w:sdtPr>
      <w:sdtEndPr>
        <w:rPr>
          <w:rFonts w:ascii="Arial" w:hAnsi="Arial" w:eastAsia="Arial"/>
          <w:color w:val="auto"/>
          <w:sz w:val="21"/>
          <w:szCs w:val="21"/>
          <w:highlight w:val="none"/>
        </w:rPr>
      </w:sdtEndPr>
      <w:sdtContent>
        <w:p>
          <w:pPr>
            <w:spacing w:line="240" w:lineRule="auto"/>
            <w:jc w:val="center"/>
            <w:rPr>
              <w:rFonts w:ascii="宋体" w:hAnsi="宋体" w:eastAsia="宋体"/>
              <w:color w:val="auto"/>
              <w:sz w:val="36"/>
              <w:szCs w:val="36"/>
              <w:highlight w:val="none"/>
            </w:rPr>
          </w:pPr>
        </w:p>
        <w:p>
          <w:pPr>
            <w:spacing w:line="240" w:lineRule="auto"/>
            <w:rPr>
              <w:rFonts w:ascii="宋体" w:hAnsi="宋体" w:eastAsia="宋体"/>
              <w:color w:val="auto"/>
              <w:sz w:val="36"/>
              <w:szCs w:val="36"/>
              <w:highlight w:val="none"/>
            </w:rPr>
          </w:pPr>
          <w:r>
            <w:rPr>
              <w:rFonts w:ascii="宋体" w:hAnsi="宋体" w:eastAsia="宋体"/>
              <w:color w:val="auto"/>
              <w:sz w:val="36"/>
              <w:szCs w:val="36"/>
              <w:highlight w:val="none"/>
            </w:rPr>
            <w:br w:type="page"/>
          </w:r>
        </w:p>
        <w:p>
          <w:pPr>
            <w:spacing w:line="240" w:lineRule="auto"/>
            <w:jc w:val="center"/>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rPr>
            <w:t xml:space="preserve">  </w:t>
          </w:r>
          <w:r>
            <w:rPr>
              <w:rFonts w:ascii="宋体" w:hAnsi="宋体" w:eastAsia="宋体"/>
              <w:color w:val="auto"/>
              <w:sz w:val="36"/>
              <w:szCs w:val="36"/>
              <w:highlight w:val="none"/>
            </w:rPr>
            <w:t>录</w:t>
          </w:r>
        </w:p>
        <w:p>
          <w:pPr>
            <w:pStyle w:val="13"/>
            <w:tabs>
              <w:tab w:val="right" w:leader="dot" w:pos="9071"/>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_Toc3463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spacing w:val="8"/>
              <w:szCs w:val="36"/>
              <w:highlight w:val="none"/>
            </w:rPr>
            <w:t xml:space="preserve">  </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投标邀请</w:t>
          </w:r>
          <w:r>
            <w:tab/>
          </w:r>
          <w:r>
            <w:fldChar w:fldCharType="begin"/>
          </w:r>
          <w:r>
            <w:instrText xml:space="preserve"> PAGEREF _Toc3463 \h </w:instrText>
          </w:r>
          <w:r>
            <w:fldChar w:fldCharType="separate"/>
          </w:r>
          <w:r>
            <w:t>3</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_Toc2059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第二章  投标人须知</w:t>
          </w:r>
          <w:r>
            <w:tab/>
          </w:r>
          <w:r>
            <w:fldChar w:fldCharType="begin"/>
          </w:r>
          <w:r>
            <w:instrText xml:space="preserve"> PAGEREF _Toc2059 \h </w:instrText>
          </w:r>
          <w:r>
            <w:fldChar w:fldCharType="separate"/>
          </w:r>
          <w:r>
            <w:t>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_Toc30521 </w:instrText>
          </w:r>
          <w:r>
            <w:rPr>
              <w:highlight w:val="none"/>
            </w:rPr>
            <w:fldChar w:fldCharType="separate"/>
          </w:r>
          <w:r>
            <w:rPr>
              <w:rFonts w:hint="eastAsia" w:ascii="宋体" w:hAnsi="宋体" w:eastAsia="宋体" w:cs="宋体"/>
              <w:bCs/>
              <w:szCs w:val="31"/>
              <w:highlight w:val="none"/>
            </w:rPr>
            <w:t>一、投标人须知附表</w:t>
          </w:r>
          <w:r>
            <w:tab/>
          </w:r>
          <w:r>
            <w:fldChar w:fldCharType="begin"/>
          </w:r>
          <w:r>
            <w:instrText xml:space="preserve"> PAGEREF _Toc30521 \h </w:instrText>
          </w:r>
          <w:r>
            <w:fldChar w:fldCharType="separate"/>
          </w:r>
          <w:r>
            <w:t>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_Toc12017 </w:instrText>
          </w:r>
          <w:r>
            <w:rPr>
              <w:highlight w:val="none"/>
            </w:rPr>
            <w:fldChar w:fldCharType="separate"/>
          </w:r>
          <w:r>
            <w:rPr>
              <w:rFonts w:hint="eastAsia" w:ascii="宋体" w:hAnsi="宋体" w:eastAsia="宋体" w:cs="宋体"/>
              <w:bCs/>
              <w:szCs w:val="31"/>
              <w:highlight w:val="none"/>
            </w:rPr>
            <w:t>二 、 总  则</w:t>
          </w:r>
          <w:r>
            <w:tab/>
          </w:r>
          <w:r>
            <w:fldChar w:fldCharType="begin"/>
          </w:r>
          <w:r>
            <w:instrText xml:space="preserve"> PAGEREF _Toc12017 \h </w:instrText>
          </w:r>
          <w:r>
            <w:fldChar w:fldCharType="separate"/>
          </w:r>
          <w:r>
            <w:t>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_Toc21423 </w:instrText>
          </w:r>
          <w:r>
            <w:rPr>
              <w:highlight w:val="none"/>
            </w:rPr>
            <w:fldChar w:fldCharType="separate"/>
          </w:r>
          <w:r>
            <w:rPr>
              <w:rFonts w:hint="eastAsia" w:ascii="宋体" w:hAnsi="宋体" w:eastAsia="宋体" w:cs="宋体"/>
              <w:bCs/>
              <w:szCs w:val="31"/>
              <w:highlight w:val="none"/>
            </w:rPr>
            <w:t>三、招标文件</w:t>
          </w:r>
          <w:r>
            <w:tab/>
          </w:r>
          <w:r>
            <w:fldChar w:fldCharType="begin"/>
          </w:r>
          <w:r>
            <w:instrText xml:space="preserve"> PAGEREF _Toc21423 \h </w:instrText>
          </w:r>
          <w:r>
            <w:fldChar w:fldCharType="separate"/>
          </w:r>
          <w:r>
            <w:t>9</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_Toc11956 </w:instrText>
          </w:r>
          <w:r>
            <w:rPr>
              <w:highlight w:val="none"/>
            </w:rPr>
            <w:fldChar w:fldCharType="separate"/>
          </w:r>
          <w:r>
            <w:rPr>
              <w:rFonts w:hint="eastAsia" w:ascii="宋体" w:hAnsi="宋体" w:eastAsia="宋体" w:cs="宋体"/>
              <w:bCs/>
              <w:szCs w:val="31"/>
              <w:highlight w:val="none"/>
            </w:rPr>
            <w:t>四、投标文件</w:t>
          </w:r>
          <w:r>
            <w:tab/>
          </w:r>
          <w:r>
            <w:fldChar w:fldCharType="begin"/>
          </w:r>
          <w:r>
            <w:instrText xml:space="preserve"> PAGEREF _Toc11956 \h </w:instrText>
          </w:r>
          <w:r>
            <w:fldChar w:fldCharType="separate"/>
          </w:r>
          <w:r>
            <w:t>10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_Toc31519 </w:instrText>
          </w:r>
          <w:r>
            <w:rPr>
              <w:highlight w:val="none"/>
            </w:rPr>
            <w:fldChar w:fldCharType="separate"/>
          </w:r>
          <w:r>
            <w:rPr>
              <w:rFonts w:hint="eastAsia" w:ascii="宋体" w:hAnsi="宋体" w:eastAsia="宋体" w:cs="宋体"/>
              <w:bCs/>
              <w:szCs w:val="31"/>
              <w:highlight w:val="none"/>
            </w:rPr>
            <w:t>五、开标和中标</w:t>
          </w:r>
          <w:r>
            <w:tab/>
          </w:r>
          <w:r>
            <w:fldChar w:fldCharType="begin"/>
          </w:r>
          <w:r>
            <w:instrText xml:space="preserve"> PAGEREF _Toc31519 \h </w:instrText>
          </w:r>
          <w:r>
            <w:fldChar w:fldCharType="separate"/>
          </w:r>
          <w:r>
            <w:t>13</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_Toc4574 </w:instrText>
          </w:r>
          <w:r>
            <w:rPr>
              <w:highlight w:val="none"/>
            </w:rPr>
            <w:fldChar w:fldCharType="separate"/>
          </w:r>
          <w:r>
            <w:rPr>
              <w:rFonts w:hint="eastAsia" w:ascii="宋体" w:hAnsi="宋体" w:eastAsia="宋体" w:cs="宋体"/>
              <w:bCs/>
              <w:szCs w:val="31"/>
              <w:highlight w:val="none"/>
            </w:rPr>
            <w:t>六、签订及履行合同和验收</w:t>
          </w:r>
          <w:r>
            <w:tab/>
          </w:r>
          <w:r>
            <w:fldChar w:fldCharType="begin"/>
          </w:r>
          <w:r>
            <w:instrText xml:space="preserve"> PAGEREF _Toc4574 \h </w:instrText>
          </w:r>
          <w:r>
            <w:fldChar w:fldCharType="separate"/>
          </w:r>
          <w:r>
            <w:t>15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_Toc23630 </w:instrText>
          </w:r>
          <w:r>
            <w:rPr>
              <w:highlight w:val="none"/>
            </w:rPr>
            <w:fldChar w:fldCharType="separate"/>
          </w:r>
          <w:r>
            <w:rPr>
              <w:rFonts w:hint="eastAsia" w:ascii="宋体" w:hAnsi="宋体" w:eastAsia="宋体" w:cs="宋体"/>
              <w:bCs/>
              <w:szCs w:val="31"/>
              <w:highlight w:val="none"/>
            </w:rPr>
            <w:t>七、投标纪律要求</w:t>
          </w:r>
          <w:r>
            <w:tab/>
          </w:r>
          <w:r>
            <w:fldChar w:fldCharType="begin"/>
          </w:r>
          <w:r>
            <w:instrText xml:space="preserve"> PAGEREF _Toc23630 \h </w:instrText>
          </w:r>
          <w:r>
            <w:fldChar w:fldCharType="separate"/>
          </w:r>
          <w:r>
            <w:t>16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_Toc2277 </w:instrText>
          </w:r>
          <w:r>
            <w:rPr>
              <w:highlight w:val="none"/>
            </w:rPr>
            <w:fldChar w:fldCharType="separate"/>
          </w:r>
          <w:r>
            <w:rPr>
              <w:rFonts w:hint="eastAsia" w:ascii="宋体" w:hAnsi="宋体" w:eastAsia="宋体" w:cs="宋体"/>
              <w:bCs/>
              <w:szCs w:val="31"/>
              <w:highlight w:val="none"/>
            </w:rPr>
            <w:t>八、询问、质疑和投诉</w:t>
          </w:r>
          <w:r>
            <w:tab/>
          </w:r>
          <w:r>
            <w:fldChar w:fldCharType="begin"/>
          </w:r>
          <w:r>
            <w:instrText xml:space="preserve"> PAGEREF _Toc2277 \h </w:instrText>
          </w:r>
          <w:r>
            <w:fldChar w:fldCharType="separate"/>
          </w:r>
          <w:r>
            <w:t>16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_Toc30615 </w:instrText>
          </w:r>
          <w:r>
            <w:rPr>
              <w:highlight w:val="none"/>
            </w:rPr>
            <w:fldChar w:fldCharType="separate"/>
          </w:r>
          <w:r>
            <w:rPr>
              <w:rFonts w:hint="eastAsia" w:ascii="宋体" w:hAnsi="宋体" w:eastAsia="宋体" w:cs="宋体"/>
              <w:bCs/>
              <w:szCs w:val="31"/>
              <w:highlight w:val="none"/>
            </w:rPr>
            <w:t>九、其他</w:t>
          </w:r>
          <w:r>
            <w:tab/>
          </w:r>
          <w:r>
            <w:fldChar w:fldCharType="begin"/>
          </w:r>
          <w:r>
            <w:instrText xml:space="preserve"> PAGEREF _Toc30615 \h </w:instrText>
          </w:r>
          <w:r>
            <w:fldChar w:fldCharType="separate"/>
          </w:r>
          <w:r>
            <w:t>16</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_Toc17804 </w:instrText>
          </w:r>
          <w:r>
            <w:rPr>
              <w:highlight w:val="none"/>
            </w:rPr>
            <w:fldChar w:fldCharType="separate"/>
          </w:r>
          <w:r>
            <w:rPr>
              <w:rFonts w:hint="eastAsia" w:ascii="宋体" w:hAnsi="宋体" w:eastAsia="宋体" w:cs="宋体"/>
              <w:szCs w:val="36"/>
              <w:highlight w:val="none"/>
              <w14:textOutline w14:w="6540" w14:cap="sq" w14:cmpd="sng" w14:algn="ctr">
                <w14:solidFill>
                  <w14:srgbClr w14:val="000000"/>
                </w14:solidFill>
                <w14:prstDash w14:val="solid"/>
                <w14:bevel/>
              </w14:textOutline>
            </w:rPr>
            <w:t>第三章 投标文件格式</w:t>
          </w:r>
          <w:r>
            <w:tab/>
          </w:r>
          <w:r>
            <w:fldChar w:fldCharType="begin"/>
          </w:r>
          <w:r>
            <w:instrText xml:space="preserve"> PAGEREF _Toc17804 \h </w:instrText>
          </w:r>
          <w:r>
            <w:fldChar w:fldCharType="separate"/>
          </w:r>
          <w:r>
            <w:t>17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_Toc26429 </w:instrText>
          </w:r>
          <w:r>
            <w:rPr>
              <w:highlight w:val="none"/>
            </w:rPr>
            <w:fldChar w:fldCharType="separate"/>
          </w:r>
          <w:r>
            <w:rPr>
              <w:rFonts w:hint="eastAsia" w:ascii="宋体" w:hAnsi="宋体" w:eastAsia="宋体" w:cs="宋体"/>
              <w:bCs/>
              <w:szCs w:val="44"/>
              <w:highlight w:val="none"/>
            </w:rPr>
            <w:t>第一部分：资格性投标文件</w:t>
          </w:r>
          <w:r>
            <w:tab/>
          </w:r>
          <w:r>
            <w:fldChar w:fldCharType="begin"/>
          </w:r>
          <w:r>
            <w:instrText xml:space="preserve"> PAGEREF _Toc26429 \h </w:instrText>
          </w:r>
          <w:r>
            <w:fldChar w:fldCharType="separate"/>
          </w:r>
          <w:r>
            <w:t>18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_Toc4716 </w:instrText>
          </w:r>
          <w:r>
            <w:rPr>
              <w:highlight w:val="none"/>
            </w:rPr>
            <w:fldChar w:fldCharType="separate"/>
          </w:r>
          <w:r>
            <w:rPr>
              <w:rFonts w:hint="eastAsia" w:ascii="宋体" w:hAnsi="宋体" w:eastAsia="宋体" w:cs="宋体"/>
              <w:bCs/>
              <w:szCs w:val="44"/>
              <w:highlight w:val="none"/>
            </w:rPr>
            <w:t>第二部分：其他响应性投标文件</w:t>
          </w:r>
          <w:r>
            <w:tab/>
          </w:r>
          <w:r>
            <w:fldChar w:fldCharType="begin"/>
          </w:r>
          <w:r>
            <w:instrText xml:space="preserve"> PAGEREF _Toc4716 \h </w:instrText>
          </w:r>
          <w:r>
            <w:fldChar w:fldCharType="separate"/>
          </w:r>
          <w:r>
            <w:t>23</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_Toc1869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r>
            <w:tab/>
          </w:r>
          <w:r>
            <w:fldChar w:fldCharType="begin"/>
          </w:r>
          <w:r>
            <w:instrText xml:space="preserve"> PAGEREF _Toc1869 \h </w:instrText>
          </w:r>
          <w:r>
            <w:fldChar w:fldCharType="separate"/>
          </w:r>
          <w:r>
            <w:t>35</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_Toc4044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第五章  投标人应当提供的资格、资质性及其他类似效力要求的相关证明材料</w:t>
          </w:r>
          <w:r>
            <w:tab/>
          </w:r>
          <w:r>
            <w:fldChar w:fldCharType="begin"/>
          </w:r>
          <w:r>
            <w:instrText xml:space="preserve"> PAGEREF _Toc4044 \h </w:instrText>
          </w:r>
          <w:r>
            <w:fldChar w:fldCharType="separate"/>
          </w:r>
          <w:r>
            <w:t>36</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_Toc8606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第六章 招标项目技术、服务及商务要求</w:t>
          </w:r>
          <w:r>
            <w:tab/>
          </w:r>
          <w:r>
            <w:fldChar w:fldCharType="begin"/>
          </w:r>
          <w:r>
            <w:instrText xml:space="preserve"> PAGEREF _Toc8606 \h </w:instrText>
          </w:r>
          <w:r>
            <w:fldChar w:fldCharType="separate"/>
          </w:r>
          <w:r>
            <w:t>37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_Toc2090 </w:instrText>
          </w:r>
          <w:r>
            <w:rPr>
              <w:highlight w:val="none"/>
            </w:rPr>
            <w:fldChar w:fldCharType="separate"/>
          </w:r>
          <w:r>
            <w:rPr>
              <w:rFonts w:hint="eastAsia" w:ascii="宋体" w:hAnsi="宋体" w:eastAsia="宋体" w:cs="Times New Roman"/>
              <w:bCs/>
              <w:kern w:val="44"/>
              <w:szCs w:val="23"/>
            </w:rPr>
            <w:t xml:space="preserve">一、 </w:t>
          </w:r>
          <w:r>
            <w:rPr>
              <w:rFonts w:hint="eastAsia" w:ascii="宋体" w:hAnsi="宋体" w:eastAsia="宋体" w:cs="Times New Roman"/>
              <w:bCs/>
              <w:kern w:val="44"/>
              <w:szCs w:val="23"/>
              <w:highlight w:val="none"/>
            </w:rPr>
            <w:t>项目概况</w:t>
          </w:r>
          <w:r>
            <w:tab/>
          </w:r>
          <w:r>
            <w:fldChar w:fldCharType="begin"/>
          </w:r>
          <w:r>
            <w:instrText xml:space="preserve"> PAGEREF _Toc2090 \h </w:instrText>
          </w:r>
          <w:r>
            <w:fldChar w:fldCharType="separate"/>
          </w:r>
          <w:r>
            <w:t>37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_Toc26284 </w:instrText>
          </w:r>
          <w:r>
            <w:rPr>
              <w:highlight w:val="none"/>
            </w:rPr>
            <w:fldChar w:fldCharType="separate"/>
          </w:r>
          <w:r>
            <w:rPr>
              <w:rFonts w:hint="eastAsia" w:ascii="宋体" w:hAnsi="宋体" w:eastAsia="宋体" w:cs="Times New Roman"/>
              <w:bCs/>
              <w:kern w:val="44"/>
              <w:szCs w:val="23"/>
            </w:rPr>
            <w:t xml:space="preserve">二、 </w:t>
          </w:r>
          <w:r>
            <w:rPr>
              <w:rFonts w:hint="eastAsia" w:ascii="宋体" w:hAnsi="宋体" w:eastAsia="宋体" w:cs="Times New Roman"/>
              <w:bCs/>
              <w:kern w:val="44"/>
              <w:szCs w:val="23"/>
              <w:highlight w:val="none"/>
            </w:rPr>
            <w:t>★</w:t>
          </w:r>
          <w:r>
            <w:rPr>
              <w:rFonts w:hint="eastAsia" w:ascii="宋体" w:hAnsi="宋体" w:eastAsia="宋体" w:cs="Times New Roman"/>
              <w:bCs/>
              <w:kern w:val="44"/>
              <w:szCs w:val="23"/>
              <w:highlight w:val="none"/>
              <w:lang w:val="en-US" w:eastAsia="zh-CN"/>
            </w:rPr>
            <w:t>采购范围及内容</w:t>
          </w:r>
          <w:r>
            <w:tab/>
          </w:r>
          <w:r>
            <w:fldChar w:fldCharType="begin"/>
          </w:r>
          <w:r>
            <w:instrText xml:space="preserve"> PAGEREF _Toc26284 \h </w:instrText>
          </w:r>
          <w:r>
            <w:fldChar w:fldCharType="separate"/>
          </w:r>
          <w:r>
            <w:t>37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_Toc8745 </w:instrText>
          </w:r>
          <w:r>
            <w:rPr>
              <w:highlight w:val="none"/>
            </w:rPr>
            <w:fldChar w:fldCharType="separate"/>
          </w:r>
          <w:r>
            <w:rPr>
              <w:rFonts w:hint="eastAsia" w:ascii="宋体" w:hAnsi="宋体" w:eastAsia="宋体" w:cs="Times New Roman"/>
              <w:bCs/>
              <w:kern w:val="44"/>
              <w:szCs w:val="23"/>
              <w:lang w:val="en-US" w:eastAsia="zh-CN"/>
            </w:rPr>
            <w:t xml:space="preserve">三、 </w:t>
          </w:r>
          <w:r>
            <w:rPr>
              <w:rFonts w:hint="eastAsia" w:ascii="宋体" w:hAnsi="宋体" w:eastAsia="宋体" w:cs="Times New Roman"/>
              <w:bCs/>
              <w:kern w:val="44"/>
              <w:szCs w:val="23"/>
              <w:highlight w:val="none"/>
              <w:lang w:val="en-US" w:eastAsia="zh-CN"/>
            </w:rPr>
            <w:t>技术要求（功能和质量要求）</w:t>
          </w:r>
          <w:r>
            <w:tab/>
          </w:r>
          <w:r>
            <w:fldChar w:fldCharType="begin"/>
          </w:r>
          <w:r>
            <w:instrText xml:space="preserve"> PAGEREF _Toc8745 \h </w:instrText>
          </w:r>
          <w:r>
            <w:fldChar w:fldCharType="separate"/>
          </w:r>
          <w:r>
            <w:t>37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_Toc602 </w:instrText>
          </w:r>
          <w:r>
            <w:rPr>
              <w:highlight w:val="none"/>
            </w:rPr>
            <w:fldChar w:fldCharType="separate"/>
          </w:r>
          <w:r>
            <w:rPr>
              <w:rFonts w:hint="eastAsia" w:ascii="宋体" w:hAnsi="宋体" w:eastAsia="宋体" w:cs="Times New Roman"/>
              <w:bCs/>
              <w:kern w:val="44"/>
              <w:szCs w:val="23"/>
            </w:rPr>
            <w:t xml:space="preserve">四、 </w:t>
          </w:r>
          <w:r>
            <w:rPr>
              <w:rFonts w:hint="eastAsia" w:ascii="宋体" w:hAnsi="宋体" w:eastAsia="宋体" w:cs="Times New Roman"/>
              <w:bCs/>
              <w:kern w:val="44"/>
              <w:szCs w:val="23"/>
              <w:highlight w:val="none"/>
            </w:rPr>
            <w:t>★商务要求</w:t>
          </w:r>
          <w:r>
            <w:tab/>
          </w:r>
          <w:r>
            <w:fldChar w:fldCharType="begin"/>
          </w:r>
          <w:r>
            <w:instrText xml:space="preserve"> PAGEREF _Toc602 \h </w:instrText>
          </w:r>
          <w:r>
            <w:fldChar w:fldCharType="separate"/>
          </w:r>
          <w:r>
            <w:t>38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_Toc8889 </w:instrText>
          </w:r>
          <w:r>
            <w:rPr>
              <w:highlight w:val="none"/>
            </w:rPr>
            <w:fldChar w:fldCharType="separate"/>
          </w:r>
          <w:r>
            <w:rPr>
              <w:rFonts w:hint="eastAsia" w:ascii="宋体" w:hAnsi="宋体" w:eastAsia="宋体" w:cs="宋体"/>
              <w:bCs/>
              <w:szCs w:val="24"/>
              <w:lang w:val="en-US" w:eastAsia="zh-CN"/>
            </w:rPr>
            <w:t xml:space="preserve">五、 </w:t>
          </w:r>
          <w:r>
            <w:rPr>
              <w:rFonts w:hint="eastAsia" w:ascii="Times New Roman" w:hAnsi="Times New Roman" w:eastAsia="宋体" w:cs="Times New Roman"/>
              <w:bCs/>
              <w:szCs w:val="28"/>
              <w:highlight w:val="none"/>
            </w:rPr>
            <w:t>★</w:t>
          </w:r>
          <w:r>
            <w:rPr>
              <w:rFonts w:hint="eastAsia" w:ascii="宋体" w:hAnsi="宋体" w:eastAsia="宋体" w:cs="宋体"/>
              <w:bCs/>
              <w:szCs w:val="24"/>
              <w:highlight w:val="none"/>
              <w:lang w:eastAsia="zh-CN"/>
            </w:rPr>
            <w:t>履约保证金要求</w:t>
          </w:r>
          <w:r>
            <w:tab/>
          </w:r>
          <w:r>
            <w:fldChar w:fldCharType="begin"/>
          </w:r>
          <w:r>
            <w:instrText xml:space="preserve"> PAGEREF _Toc8889 \h </w:instrText>
          </w:r>
          <w:r>
            <w:fldChar w:fldCharType="separate"/>
          </w:r>
          <w:r>
            <w:t>39</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_Toc21491 </w:instrText>
          </w:r>
          <w:r>
            <w:rPr>
              <w:highlight w:val="none"/>
            </w:rPr>
            <w:fldChar w:fldCharType="separate"/>
          </w:r>
          <w:r>
            <w:rPr>
              <w:rFonts w:hint="eastAsia" w:ascii="宋体" w:hAnsi="宋体" w:eastAsia="宋体" w:cs="宋体"/>
              <w:bCs/>
              <w:kern w:val="44"/>
              <w:szCs w:val="24"/>
              <w:lang w:eastAsia="zh-CN"/>
            </w:rPr>
            <w:t xml:space="preserve">六、 </w:t>
          </w:r>
          <w:r>
            <w:rPr>
              <w:rFonts w:hint="eastAsia" w:ascii="宋体" w:hAnsi="宋体" w:eastAsia="宋体" w:cs="宋体"/>
              <w:bCs/>
              <w:kern w:val="44"/>
              <w:szCs w:val="24"/>
              <w:highlight w:val="none"/>
              <w:lang w:eastAsia="zh-CN"/>
            </w:rPr>
            <w:t>方案要求</w:t>
          </w:r>
          <w:r>
            <w:tab/>
          </w:r>
          <w:r>
            <w:fldChar w:fldCharType="begin"/>
          </w:r>
          <w:r>
            <w:instrText xml:space="preserve"> PAGEREF _Toc21491 \h </w:instrText>
          </w:r>
          <w:r>
            <w:fldChar w:fldCharType="separate"/>
          </w:r>
          <w:r>
            <w:t>40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_Toc18869 </w:instrText>
          </w:r>
          <w:r>
            <w:rPr>
              <w:highlight w:val="none"/>
            </w:rPr>
            <w:fldChar w:fldCharType="separate"/>
          </w:r>
          <w:r>
            <w:rPr>
              <w:rFonts w:hint="eastAsia" w:ascii="宋体" w:hAnsi="宋体" w:eastAsia="宋体" w:cs="宋体"/>
              <w:bCs/>
              <w:kern w:val="44"/>
              <w:szCs w:val="24"/>
              <w:lang w:eastAsia="zh-CN"/>
            </w:rPr>
            <w:t xml:space="preserve">七、 </w:t>
          </w:r>
          <w:r>
            <w:rPr>
              <w:rFonts w:hint="eastAsia" w:ascii="宋体" w:hAnsi="宋体" w:eastAsia="宋体" w:cs="宋体"/>
              <w:bCs/>
              <w:kern w:val="44"/>
              <w:szCs w:val="24"/>
              <w:highlight w:val="none"/>
              <w:lang w:val="en-US" w:eastAsia="zh-CN"/>
            </w:rPr>
            <w:t>样品要求</w:t>
          </w:r>
          <w:r>
            <w:tab/>
          </w:r>
          <w:r>
            <w:fldChar w:fldCharType="begin"/>
          </w:r>
          <w:r>
            <w:instrText xml:space="preserve"> PAGEREF _Toc18869 \h </w:instrText>
          </w:r>
          <w:r>
            <w:fldChar w:fldCharType="separate"/>
          </w:r>
          <w:r>
            <w:t>40</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_Toc19151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第七章  评标办法</w:t>
          </w:r>
          <w:r>
            <w:tab/>
          </w:r>
          <w:r>
            <w:fldChar w:fldCharType="begin"/>
          </w:r>
          <w:r>
            <w:instrText xml:space="preserve"> PAGEREF _Toc19151 \h </w:instrText>
          </w:r>
          <w:r>
            <w:fldChar w:fldCharType="separate"/>
          </w:r>
          <w:r>
            <w:t>41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_Toc25682 </w:instrText>
          </w:r>
          <w:r>
            <w:rPr>
              <w:highlight w:val="none"/>
            </w:rPr>
            <w:fldChar w:fldCharType="separate"/>
          </w:r>
          <w:r>
            <w:rPr>
              <w:rFonts w:hint="eastAsia" w:ascii="宋体" w:hAnsi="宋体" w:eastAsia="宋体" w:cs="宋体"/>
              <w:bCs/>
              <w:szCs w:val="24"/>
              <w:highlight w:val="none"/>
              <w:lang w:eastAsia="zh-CN"/>
            </w:rPr>
            <w:t>一、</w:t>
          </w:r>
          <w:r>
            <w:rPr>
              <w:rFonts w:hint="eastAsia" w:ascii="宋体" w:hAnsi="宋体" w:eastAsia="宋体" w:cs="宋体"/>
              <w:bCs/>
              <w:szCs w:val="24"/>
              <w:highlight w:val="none"/>
            </w:rPr>
            <w:t>总则</w:t>
          </w:r>
          <w:r>
            <w:tab/>
          </w:r>
          <w:r>
            <w:fldChar w:fldCharType="begin"/>
          </w:r>
          <w:r>
            <w:instrText xml:space="preserve"> PAGEREF _Toc25682 \h </w:instrText>
          </w:r>
          <w:r>
            <w:fldChar w:fldCharType="separate"/>
          </w:r>
          <w:r>
            <w:t>41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_Toc13707 </w:instrText>
          </w:r>
          <w:r>
            <w:rPr>
              <w:highlight w:val="none"/>
            </w:rPr>
            <w:fldChar w:fldCharType="separate"/>
          </w:r>
          <w:r>
            <w:rPr>
              <w:rFonts w:hint="eastAsia" w:ascii="宋体" w:hAnsi="宋体" w:eastAsia="宋体" w:cs="宋体"/>
              <w:bCs/>
              <w:szCs w:val="24"/>
              <w:highlight w:val="none"/>
              <w:lang w:eastAsia="zh-CN"/>
            </w:rPr>
            <w:t>二、</w:t>
          </w:r>
          <w:r>
            <w:rPr>
              <w:rFonts w:hint="eastAsia" w:ascii="宋体" w:hAnsi="宋体" w:eastAsia="宋体" w:cs="宋体"/>
              <w:bCs/>
              <w:szCs w:val="24"/>
              <w:highlight w:val="none"/>
            </w:rPr>
            <w:t>评标方法</w:t>
          </w:r>
          <w:r>
            <w:tab/>
          </w:r>
          <w:r>
            <w:fldChar w:fldCharType="begin"/>
          </w:r>
          <w:r>
            <w:instrText xml:space="preserve"> PAGEREF _Toc13707 \h </w:instrText>
          </w:r>
          <w:r>
            <w:fldChar w:fldCharType="separate"/>
          </w:r>
          <w:r>
            <w:t>41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_Toc19465 </w:instrText>
          </w:r>
          <w:r>
            <w:rPr>
              <w:highlight w:val="none"/>
            </w:rPr>
            <w:fldChar w:fldCharType="separate"/>
          </w:r>
          <w:r>
            <w:rPr>
              <w:rFonts w:hint="eastAsia" w:ascii="宋体" w:hAnsi="宋体" w:eastAsia="宋体" w:cs="宋体"/>
              <w:bCs/>
              <w:szCs w:val="24"/>
              <w:highlight w:val="none"/>
              <w:lang w:eastAsia="zh-CN"/>
            </w:rPr>
            <w:t>三、</w:t>
          </w:r>
          <w:r>
            <w:rPr>
              <w:rFonts w:hint="eastAsia" w:ascii="宋体" w:hAnsi="宋体" w:eastAsia="宋体" w:cs="宋体"/>
              <w:bCs/>
              <w:szCs w:val="24"/>
              <w:highlight w:val="none"/>
            </w:rPr>
            <w:t>评标程序</w:t>
          </w:r>
          <w:r>
            <w:tab/>
          </w:r>
          <w:r>
            <w:fldChar w:fldCharType="begin"/>
          </w:r>
          <w:r>
            <w:instrText xml:space="preserve"> PAGEREF _Toc19465 \h </w:instrText>
          </w:r>
          <w:r>
            <w:fldChar w:fldCharType="separate"/>
          </w:r>
          <w:r>
            <w:t>41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_Toc32706 </w:instrText>
          </w:r>
          <w:r>
            <w:rPr>
              <w:highlight w:val="none"/>
            </w:rPr>
            <w:fldChar w:fldCharType="separate"/>
          </w:r>
          <w:r>
            <w:rPr>
              <w:rFonts w:hint="eastAsia" w:ascii="宋体" w:hAnsi="宋体" w:eastAsia="宋体" w:cs="宋体"/>
              <w:bCs/>
              <w:szCs w:val="24"/>
              <w:highlight w:val="none"/>
              <w:lang w:eastAsia="zh-CN"/>
            </w:rPr>
            <w:t>四、</w:t>
          </w:r>
          <w:r>
            <w:rPr>
              <w:rFonts w:hint="eastAsia" w:ascii="宋体" w:hAnsi="宋体" w:eastAsia="宋体" w:cs="宋体"/>
              <w:bCs/>
              <w:szCs w:val="24"/>
              <w:highlight w:val="none"/>
            </w:rPr>
            <w:t>废 标</w:t>
          </w:r>
          <w:r>
            <w:tab/>
          </w:r>
          <w:r>
            <w:fldChar w:fldCharType="begin"/>
          </w:r>
          <w:r>
            <w:instrText xml:space="preserve"> PAGEREF _Toc32706 \h </w:instrText>
          </w:r>
          <w:r>
            <w:fldChar w:fldCharType="separate"/>
          </w:r>
          <w:r>
            <w:t>47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_Toc32237 </w:instrText>
          </w:r>
          <w:r>
            <w:rPr>
              <w:highlight w:val="none"/>
            </w:rPr>
            <w:fldChar w:fldCharType="separate"/>
          </w:r>
          <w:r>
            <w:rPr>
              <w:rFonts w:hint="eastAsia" w:ascii="宋体" w:hAnsi="宋体" w:eastAsia="宋体" w:cs="宋体"/>
              <w:bCs/>
              <w:szCs w:val="24"/>
              <w:highlight w:val="none"/>
              <w:lang w:eastAsia="zh-CN"/>
            </w:rPr>
            <w:t>五、</w:t>
          </w:r>
          <w:r>
            <w:rPr>
              <w:rFonts w:hint="eastAsia" w:ascii="宋体" w:hAnsi="宋体" w:eastAsia="宋体" w:cs="宋体"/>
              <w:bCs/>
              <w:szCs w:val="24"/>
              <w:highlight w:val="none"/>
            </w:rPr>
            <w:t>定标</w:t>
          </w:r>
          <w:r>
            <w:tab/>
          </w:r>
          <w:r>
            <w:fldChar w:fldCharType="begin"/>
          </w:r>
          <w:r>
            <w:instrText xml:space="preserve"> PAGEREF _Toc32237 \h </w:instrText>
          </w:r>
          <w:r>
            <w:fldChar w:fldCharType="separate"/>
          </w:r>
          <w:r>
            <w:t>48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_Toc31384 </w:instrText>
          </w:r>
          <w:r>
            <w:rPr>
              <w:highlight w:val="none"/>
            </w:rPr>
            <w:fldChar w:fldCharType="separate"/>
          </w:r>
          <w:r>
            <w:rPr>
              <w:rFonts w:hint="eastAsia" w:ascii="宋体" w:hAnsi="宋体" w:eastAsia="宋体" w:cs="宋体"/>
              <w:bCs/>
              <w:szCs w:val="24"/>
              <w:highlight w:val="none"/>
              <w:lang w:eastAsia="zh-CN"/>
            </w:rPr>
            <w:t>六、</w:t>
          </w:r>
          <w:r>
            <w:rPr>
              <w:rFonts w:hint="eastAsia" w:ascii="宋体" w:hAnsi="宋体" w:eastAsia="宋体" w:cs="宋体"/>
              <w:bCs/>
              <w:szCs w:val="24"/>
              <w:highlight w:val="none"/>
            </w:rPr>
            <w:t>评标专家在采购活动中承担以下义务：</w:t>
          </w:r>
          <w:r>
            <w:tab/>
          </w:r>
          <w:r>
            <w:fldChar w:fldCharType="begin"/>
          </w:r>
          <w:r>
            <w:instrText xml:space="preserve"> PAGEREF _Toc31384 \h </w:instrText>
          </w:r>
          <w:r>
            <w:fldChar w:fldCharType="separate"/>
          </w:r>
          <w:r>
            <w:t>48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_Toc5511 </w:instrText>
          </w:r>
          <w:r>
            <w:rPr>
              <w:highlight w:val="none"/>
            </w:rPr>
            <w:fldChar w:fldCharType="separate"/>
          </w:r>
          <w:r>
            <w:rPr>
              <w:rFonts w:hint="eastAsia" w:ascii="宋体" w:hAnsi="宋体" w:eastAsia="宋体" w:cs="宋体"/>
              <w:bCs/>
              <w:szCs w:val="24"/>
              <w:highlight w:val="none"/>
              <w:lang w:eastAsia="zh-CN"/>
            </w:rPr>
            <w:t>七、</w:t>
          </w:r>
          <w:r>
            <w:rPr>
              <w:rFonts w:hint="eastAsia" w:ascii="宋体" w:hAnsi="宋体" w:eastAsia="宋体" w:cs="宋体"/>
              <w:bCs/>
              <w:szCs w:val="24"/>
              <w:highlight w:val="none"/>
            </w:rPr>
            <w:t>评标专家在采购活动中应当遵守以下工作纪律：</w:t>
          </w:r>
          <w:r>
            <w:tab/>
          </w:r>
          <w:r>
            <w:fldChar w:fldCharType="begin"/>
          </w:r>
          <w:r>
            <w:instrText xml:space="preserve"> PAGEREF _Toc5511 \h </w:instrText>
          </w:r>
          <w:r>
            <w:fldChar w:fldCharType="separate"/>
          </w:r>
          <w:r>
            <w:t>49</w:t>
          </w:r>
          <w:r>
            <w:fldChar w:fldCharType="end"/>
          </w:r>
          <w:r>
            <w:rPr>
              <w:color w:val="auto"/>
              <w:highlight w:val="none"/>
            </w:rPr>
            <w:fldChar w:fldCharType="end"/>
          </w:r>
        </w:p>
        <w:p>
          <w:pPr>
            <w:pStyle w:val="13"/>
            <w:tabs>
              <w:tab w:val="right" w:leader="dot" w:pos="9071"/>
            </w:tabs>
          </w:pPr>
          <w:r>
            <w:rPr>
              <w:color w:val="auto"/>
              <w:highlight w:val="none"/>
            </w:rPr>
            <w:fldChar w:fldCharType="begin"/>
          </w:r>
          <w:r>
            <w:rPr>
              <w:highlight w:val="none"/>
            </w:rPr>
            <w:instrText xml:space="preserve"> HYPERLINK \l _Toc28315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第八章  合同主要条款</w:t>
          </w:r>
          <w:r>
            <w:tab/>
          </w:r>
          <w:r>
            <w:fldChar w:fldCharType="begin"/>
          </w:r>
          <w:r>
            <w:instrText xml:space="preserve"> PAGEREF _Toc28315 \h </w:instrText>
          </w:r>
          <w:r>
            <w:fldChar w:fldCharType="separate"/>
          </w:r>
          <w:r>
            <w:t>50</w:t>
          </w:r>
          <w:r>
            <w:fldChar w:fldCharType="end"/>
          </w:r>
          <w:r>
            <w:rPr>
              <w:color w:val="auto"/>
              <w:highlight w:val="none"/>
            </w:rPr>
            <w:fldChar w:fldCharType="end"/>
          </w:r>
        </w:p>
        <w:p>
          <w:pPr>
            <w:spacing w:line="240" w:lineRule="auto"/>
            <w:rPr>
              <w:color w:val="auto"/>
              <w:highlight w:val="none"/>
            </w:rPr>
          </w:pPr>
          <w:r>
            <w:rPr>
              <w:color w:val="auto"/>
              <w:highlight w:val="none"/>
            </w:rPr>
            <w:fldChar w:fldCharType="end"/>
          </w:r>
        </w:p>
      </w:sdtContent>
    </w:sdt>
    <w:p>
      <w:pPr>
        <w:spacing w:line="240" w:lineRule="auto"/>
        <w:rPr>
          <w:color w:val="auto"/>
          <w:highlight w:val="none"/>
        </w:rPr>
      </w:pPr>
    </w:p>
    <w:p>
      <w:pPr>
        <w:spacing w:line="240" w:lineRule="auto"/>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br w:type="page"/>
      </w:r>
    </w:p>
    <w:p>
      <w:pPr>
        <w:spacing w:before="114" w:line="240" w:lineRule="auto"/>
        <w:jc w:val="center"/>
        <w:outlineLvl w:val="0"/>
        <w:rPr>
          <w:rFonts w:ascii="宋体" w:hAnsi="宋体" w:eastAsia="宋体" w:cs="宋体"/>
          <w:color w:val="auto"/>
          <w:sz w:val="36"/>
          <w:szCs w:val="36"/>
          <w:highlight w:val="none"/>
        </w:rPr>
      </w:pPr>
      <w:bookmarkStart w:id="2" w:name="_Toc3463"/>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color w:val="auto"/>
          <w:spacing w:val="8"/>
          <w:sz w:val="36"/>
          <w:szCs w:val="36"/>
          <w:highlight w:val="none"/>
        </w:rPr>
        <w:t xml:space="preserve">  </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投标邀请</w:t>
      </w:r>
      <w:bookmarkEnd w:id="2"/>
    </w:p>
    <w:p>
      <w:pPr>
        <w:spacing w:line="240" w:lineRule="auto"/>
        <w:rPr>
          <w:color w:val="auto"/>
          <w:highlight w:val="none"/>
        </w:rPr>
      </w:pPr>
    </w:p>
    <w:p>
      <w:pPr>
        <w:spacing w:line="240" w:lineRule="auto"/>
        <w:rPr>
          <w:color w:val="auto"/>
          <w:highlight w:val="none"/>
        </w:rPr>
      </w:pPr>
    </w:p>
    <w:p>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受</w:t>
      </w:r>
      <w:r>
        <w:rPr>
          <w:rFonts w:hint="eastAsia" w:ascii="宋体" w:hAnsi="宋体" w:eastAsia="宋体" w:cs="宋体"/>
          <w:b/>
          <w:bCs/>
          <w:color w:val="auto"/>
          <w:sz w:val="24"/>
          <w:szCs w:val="24"/>
          <w:highlight w:val="none"/>
          <w:u w:val="single"/>
          <w:lang w:eastAsia="zh-CN"/>
        </w:rPr>
        <w:t>成都市技师学院</w:t>
      </w:r>
      <w:r>
        <w:rPr>
          <w:rFonts w:ascii="宋体" w:hAnsi="宋体" w:eastAsia="宋体" w:cs="宋体"/>
          <w:color w:val="auto"/>
          <w:sz w:val="24"/>
          <w:szCs w:val="24"/>
          <w:highlight w:val="none"/>
        </w:rPr>
        <w:t>委托，拟对</w:t>
      </w:r>
      <w:r>
        <w:rPr>
          <w:rFonts w:hint="eastAsia" w:ascii="宋体" w:hAnsi="宋体" w:eastAsia="宋体" w:cs="宋体"/>
          <w:b/>
          <w:bCs/>
          <w:color w:val="auto"/>
          <w:sz w:val="24"/>
          <w:szCs w:val="24"/>
          <w:highlight w:val="none"/>
          <w:u w:val="single"/>
          <w:lang w:eastAsia="zh-CN"/>
        </w:rPr>
        <w:t>成都市技师学院（成都工贸职业技术学院）2024级学生军训服采购项目</w:t>
      </w:r>
      <w:r>
        <w:rPr>
          <w:rFonts w:ascii="宋体" w:hAnsi="宋体" w:eastAsia="宋体" w:cs="宋体"/>
          <w:color w:val="auto"/>
          <w:sz w:val="24"/>
          <w:szCs w:val="24"/>
          <w:highlight w:val="none"/>
        </w:rPr>
        <w:t>进行国内公开招标，兹邀请符合本次招标要求的</w:t>
      </w:r>
      <w:r>
        <w:rPr>
          <w:rFonts w:hint="eastAsia" w:ascii="宋体" w:hAnsi="宋体" w:eastAsia="宋体" w:cs="宋体"/>
          <w:color w:val="auto"/>
          <w:sz w:val="24"/>
          <w:szCs w:val="24"/>
          <w:highlight w:val="none"/>
          <w:lang w:eastAsia="zh-CN"/>
        </w:rPr>
        <w:t>招标人</w:t>
      </w:r>
      <w:r>
        <w:rPr>
          <w:rFonts w:ascii="宋体" w:hAnsi="宋体" w:eastAsia="宋体" w:cs="宋体"/>
          <w:color w:val="auto"/>
          <w:sz w:val="24"/>
          <w:szCs w:val="24"/>
          <w:highlight w:val="none"/>
        </w:rPr>
        <w:t>参加投标。</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一、招标编号：SCMX-SC-2024-1071 </w:t>
      </w:r>
    </w:p>
    <w:p>
      <w:pP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二、招标项目：</w:t>
      </w:r>
      <w:r>
        <w:rPr>
          <w:rFonts w:hint="eastAsia" w:ascii="宋体" w:hAnsi="宋体" w:eastAsia="宋体" w:cs="宋体"/>
          <w:b/>
          <w:bCs/>
          <w:color w:val="auto"/>
          <w:sz w:val="24"/>
          <w:szCs w:val="24"/>
          <w:highlight w:val="none"/>
          <w:lang w:eastAsia="zh-CN"/>
        </w:rPr>
        <w:t>成都市技师学院（成都工贸职业技术学院）2024级学生军训服采购项目。</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最高限价</w:t>
      </w:r>
      <w:r>
        <w:rPr>
          <w:rFonts w:hint="eastAsia" w:ascii="宋体" w:hAnsi="宋体" w:eastAsia="宋体" w:cs="宋体"/>
          <w:b/>
          <w:bCs/>
          <w:color w:val="auto"/>
          <w:sz w:val="24"/>
          <w:szCs w:val="24"/>
          <w:highlight w:val="none"/>
        </w:rPr>
        <w:t>：学生自费，单价最高限价为</w:t>
      </w:r>
      <w:r>
        <w:rPr>
          <w:rFonts w:hint="eastAsia" w:ascii="宋体" w:hAnsi="宋体" w:eastAsia="宋体" w:cs="宋体"/>
          <w:b/>
          <w:bCs/>
          <w:color w:val="auto"/>
          <w:sz w:val="24"/>
          <w:szCs w:val="24"/>
          <w:highlight w:val="none"/>
          <w:lang w:val="en-US" w:eastAsia="zh-CN"/>
        </w:rPr>
        <w:t>120元/套</w:t>
      </w:r>
      <w:r>
        <w:rPr>
          <w:rFonts w:hint="eastAsia" w:ascii="宋体" w:hAnsi="宋体" w:eastAsia="宋体" w:cs="宋体"/>
          <w:b/>
          <w:bCs/>
          <w:color w:val="auto"/>
          <w:sz w:val="24"/>
          <w:szCs w:val="24"/>
          <w:highlight w:val="none"/>
        </w:rPr>
        <w:t>。投标人在单价最高限价的基础上进行整体下浮报价，报价不得为负数，否则将被作无效</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处理。</w:t>
      </w:r>
    </w:p>
    <w:p>
      <w:pPr>
        <w:spacing w:line="24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四、招标项目简介：</w:t>
      </w:r>
      <w:r>
        <w:rPr>
          <w:rFonts w:hint="eastAsia" w:ascii="宋体" w:hAnsi="宋体" w:eastAsia="宋体" w:cs="宋体"/>
          <w:b/>
          <w:bCs/>
          <w:color w:val="auto"/>
          <w:sz w:val="24"/>
          <w:szCs w:val="24"/>
          <w:highlight w:val="none"/>
          <w:lang w:val="en-US" w:eastAsia="zh-CN"/>
        </w:rPr>
        <w:t>本项目拟采购一名供应商为成都市技师学院（成都工贸职业技术学院）2024级新生提供军训服。涉及军训的有四个校区（郫都校区、郫都西校区、新都校区、成华校区）。招标人计划招生约为：5000人，其中中职1200人，高职:3800人（最终以实际招生为准）。</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参加本次采购活动，应当在提交投标文件前具备下列条件：</w:t>
      </w:r>
    </w:p>
    <w:p>
      <w:pPr>
        <w:spacing w:line="240" w:lineRule="auto"/>
        <w:ind w:firstLine="480" w:firstLineChars="200"/>
        <w:rPr>
          <w:rFonts w:ascii="宋体" w:hAnsi="宋体" w:eastAsia="宋体" w:cs="宋体"/>
          <w:color w:val="auto"/>
          <w:sz w:val="24"/>
          <w:szCs w:val="24"/>
          <w:highlight w:val="none"/>
        </w:rPr>
      </w:pPr>
      <w:bookmarkStart w:id="3" w:name="_Toc823"/>
      <w:r>
        <w:rPr>
          <w:rFonts w:ascii="宋体" w:hAnsi="宋体" w:eastAsia="宋体" w:cs="宋体"/>
          <w:color w:val="auto"/>
          <w:position w:val="1"/>
          <w:sz w:val="24"/>
          <w:szCs w:val="24"/>
          <w:highlight w:val="none"/>
        </w:rPr>
        <w:t>1、满足《中华人民共和国政府采购法》第二十二条规定；</w:t>
      </w:r>
      <w:bookmarkEnd w:id="3"/>
    </w:p>
    <w:p>
      <w:pPr>
        <w:spacing w:line="24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w:t>
      </w:r>
      <w:bookmarkStart w:id="4" w:name="_Toc17420"/>
      <w:r>
        <w:rPr>
          <w:rFonts w:hint="eastAsia" w:ascii="宋体" w:hAnsi="宋体" w:eastAsia="宋体" w:cs="宋体"/>
          <w:color w:val="auto"/>
          <w:sz w:val="24"/>
          <w:szCs w:val="24"/>
          <w:highlight w:val="none"/>
        </w:rPr>
        <w:t>本项目不接受联合体投标</w:t>
      </w:r>
      <w:bookmarkEnd w:id="4"/>
      <w:r>
        <w:rPr>
          <w:rFonts w:hint="eastAsia" w:ascii="宋体" w:hAnsi="宋体" w:eastAsia="宋体" w:cs="宋体"/>
          <w:color w:val="auto"/>
          <w:sz w:val="24"/>
          <w:szCs w:val="24"/>
          <w:highlight w:val="none"/>
          <w:lang w:eastAsia="zh-CN"/>
        </w:rPr>
        <w:t>；</w:t>
      </w:r>
    </w:p>
    <w:p>
      <w:pPr>
        <w:spacing w:line="240" w:lineRule="auto"/>
        <w:ind w:firstLine="482" w:firstLineChars="200"/>
        <w:rPr>
          <w:rFonts w:hint="eastAsia" w:ascii="宋体" w:hAnsi="宋体" w:eastAsia="宋体" w:cs="宋体"/>
          <w:b/>
          <w:bCs/>
          <w:color w:val="auto"/>
          <w:sz w:val="24"/>
          <w:szCs w:val="24"/>
          <w:highlight w:val="none"/>
          <w:lang w:eastAsia="zh-CN"/>
        </w:rPr>
      </w:pPr>
      <w:bookmarkStart w:id="5" w:name="_Toc13310"/>
      <w:r>
        <w:rPr>
          <w:rFonts w:hint="eastAsia" w:ascii="宋体" w:hAnsi="宋体" w:eastAsia="宋体" w:cs="宋体"/>
          <w:b/>
          <w:bCs/>
          <w:color w:val="auto"/>
          <w:sz w:val="24"/>
          <w:szCs w:val="24"/>
          <w:highlight w:val="none"/>
        </w:rPr>
        <w:t>六、严禁参加本次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活动的</w:t>
      </w:r>
      <w:bookmarkEnd w:id="5"/>
      <w:r>
        <w:rPr>
          <w:rFonts w:hint="eastAsia" w:ascii="宋体" w:hAnsi="宋体" w:eastAsia="宋体" w:cs="宋体"/>
          <w:b/>
          <w:bCs/>
          <w:color w:val="auto"/>
          <w:sz w:val="24"/>
          <w:szCs w:val="24"/>
          <w:highlight w:val="none"/>
          <w:lang w:eastAsia="zh-CN"/>
        </w:rPr>
        <w:t>投标人</w:t>
      </w:r>
    </w:p>
    <w:p>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1.根据《关于在政府采购活动中查询及使用信用记录有关问题的通知》</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财库〔2016〕125号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的要求，</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 xml:space="preserve">将通过“信用中国”网站 </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(www.creditchina.gov.cn) 、“中国政府采购网”网站 (www.ccgp.gov.cn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等渠道查询</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在递交投标文件截止之日的信用记录并保存信用记录结果网页截图，拒绝列入失信被执行人名单、重大税收违法案件当事人名单、政府采购严重违法失信行为记录名单中的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参加本项目的采购活动。</w:t>
      </w:r>
    </w:p>
    <w:p>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，不得参加本采购项目。</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在确定采购需求、编制招标文件过程中提供咨询论证，其提供的咨询论证意见成为招标文件中规定的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资格条件、技术服务商务要求、评审因素和标准、采购合同等实质性内容条款的，视同为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项目提供规范编制。</w:t>
      </w:r>
    </w:p>
    <w:p>
      <w:pPr>
        <w:spacing w:line="240" w:lineRule="auto"/>
        <w:ind w:firstLine="482" w:firstLineChars="200"/>
        <w:rPr>
          <w:rFonts w:ascii="宋体" w:hAnsi="宋体" w:eastAsia="宋体" w:cs="宋体"/>
          <w:b/>
          <w:bCs/>
          <w:color w:val="auto"/>
          <w:sz w:val="24"/>
          <w:szCs w:val="24"/>
          <w:highlight w:val="none"/>
        </w:rPr>
      </w:pPr>
      <w:bookmarkStart w:id="6" w:name="_Toc20036"/>
      <w:r>
        <w:rPr>
          <w:rFonts w:hint="eastAsia" w:ascii="宋体" w:hAnsi="宋体" w:eastAsia="宋体" w:cs="宋体"/>
          <w:b/>
          <w:bCs/>
          <w:color w:val="auto"/>
          <w:sz w:val="24"/>
          <w:szCs w:val="24"/>
          <w:highlight w:val="none"/>
        </w:rPr>
        <w:t>七、招标文件获取</w:t>
      </w:r>
      <w:bookmarkEnd w:id="6"/>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文件自2024年</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日至2024年</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日9：00-12：00，14：00-17：00可通过邮件获取，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文件售价300元/份（</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文件售后不退，</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资格不能转让）。</w:t>
      </w:r>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bookmarkStart w:id="199" w:name="_GoBack"/>
      <w:bookmarkEnd w:id="199"/>
      <w:r>
        <w:rPr>
          <w:rFonts w:hint="eastAsia" w:ascii="宋体" w:hAnsi="宋体" w:eastAsia="宋体" w:cs="宋体"/>
          <w:b w:val="0"/>
          <w:bCs w:val="0"/>
          <w:color w:val="auto"/>
          <w:sz w:val="24"/>
          <w:szCs w:val="24"/>
          <w:highlight w:val="none"/>
        </w:rPr>
        <w:t>收款账号名称：四川铭信工程招标咨询有限公司</w:t>
      </w:r>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开户行：四川银行股份有限公司成都天府广场支行</w:t>
      </w:r>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银行账号：78220100072502592。</w:t>
      </w:r>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文件时将下列有效证明文件资料扫描发送至scmxgczx@163.com（邮箱名称）（邮件名称为XXXX公司XXX项目获取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文件资料）进行邮件获取，审核通过后获取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w:t>
      </w:r>
    </w:p>
    <w:p>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授权代表负责报名的应提供单位介绍信原件或授权委托书原件以及授权代表身份证复印件；法定代表人或单位负责人负责报名的应提供法人身份证明书以及法人身份证复印件。以上材料均须加盖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pPr>
        <w:tabs>
          <w:tab w:val="left" w:pos="148"/>
        </w:tabs>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注：开具单位介绍信或授权委托书时需写明项目名称、项目编号、授权代表姓名、手机号码、邮箱、及办理具体事宜等内容。</w:t>
      </w:r>
    </w:p>
    <w:p>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八、投标截止时间和开标时间：</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10:30</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p>
    <w:p>
      <w:pPr>
        <w:spacing w:line="240"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投标文件必须在投标截止时间前送达开标地点。逾期送达的投标文件不予接收。本次招标不接受邮寄的投标文件。</w:t>
      </w:r>
    </w:p>
    <w:p>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九、开标地点：</w:t>
      </w:r>
      <w:r>
        <w:rPr>
          <w:rFonts w:hint="eastAsia" w:ascii="宋体" w:hAnsi="宋体" w:eastAsia="宋体" w:cs="宋体"/>
          <w:b/>
          <w:bCs/>
          <w:color w:val="auto"/>
          <w:sz w:val="24"/>
          <w:szCs w:val="24"/>
          <w:highlight w:val="none"/>
          <w:lang w:val="en-US" w:eastAsia="zh-CN"/>
        </w:rPr>
        <w:t>成都市高新区环球中心N3区19楼18号四川铭信工程招标咨询有限公司</w:t>
      </w:r>
      <w:r>
        <w:rPr>
          <w:rFonts w:hint="eastAsia" w:ascii="宋体" w:hAnsi="宋体" w:eastAsia="宋体" w:cs="宋体"/>
          <w:b/>
          <w:bCs/>
          <w:color w:val="auto"/>
          <w:sz w:val="24"/>
          <w:szCs w:val="24"/>
          <w:highlight w:val="none"/>
        </w:rPr>
        <w:t>。</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十、本投标邀请在中国招标投标公共服务平台（http://www.cebpubservice.com/）上以公告形式发布。 </w:t>
      </w:r>
    </w:p>
    <w:p>
      <w:pPr>
        <w:spacing w:line="240" w:lineRule="auto"/>
        <w:ind w:firstLine="482" w:firstLineChars="200"/>
        <w:rPr>
          <w:rFonts w:ascii="宋体" w:hAnsi="宋体" w:eastAsia="宋体" w:cs="宋体"/>
          <w:b/>
          <w:bCs/>
          <w:color w:val="auto"/>
          <w:sz w:val="24"/>
          <w:szCs w:val="24"/>
          <w:highlight w:val="none"/>
        </w:rPr>
      </w:pPr>
      <w:bookmarkStart w:id="7" w:name="_Toc31952"/>
      <w:r>
        <w:rPr>
          <w:rFonts w:hint="eastAsia" w:ascii="宋体" w:hAnsi="宋体" w:eastAsia="宋体" w:cs="宋体"/>
          <w:b/>
          <w:bCs/>
          <w:color w:val="auto"/>
          <w:sz w:val="24"/>
          <w:szCs w:val="24"/>
          <w:highlight w:val="none"/>
        </w:rPr>
        <w:t>十一、联系方式</w:t>
      </w:r>
      <w:bookmarkEnd w:id="7"/>
    </w:p>
    <w:p>
      <w:pPr>
        <w:spacing w:line="240" w:lineRule="auto"/>
        <w:ind w:firstLine="482" w:firstLineChars="200"/>
        <w:rPr>
          <w:rFonts w:hint="eastAsia" w:ascii="宋体" w:hAnsi="宋体" w:eastAsia="宋体" w:cs="宋体"/>
          <w:b/>
          <w:bCs/>
          <w:color w:val="auto"/>
          <w:sz w:val="24"/>
          <w:szCs w:val="24"/>
          <w:highlight w:val="none"/>
          <w:lang w:eastAsia="zh-CN"/>
        </w:rPr>
      </w:pPr>
      <w:bookmarkStart w:id="8" w:name="_Toc1539"/>
      <w:r>
        <w:rPr>
          <w:rFonts w:hint="eastAsia" w:ascii="宋体" w:hAnsi="宋体" w:eastAsia="宋体" w:cs="宋体"/>
          <w:b/>
          <w:bCs/>
          <w:color w:val="auto"/>
          <w:sz w:val="24"/>
          <w:szCs w:val="24"/>
          <w:highlight w:val="none"/>
        </w:rPr>
        <w:t>招标人：</w:t>
      </w:r>
      <w:bookmarkEnd w:id="8"/>
      <w:r>
        <w:rPr>
          <w:rFonts w:hint="eastAsia"/>
          <w:b/>
          <w:color w:val="auto"/>
          <w:sz w:val="24"/>
          <w:highlight w:val="none"/>
          <w:lang w:eastAsia="zh-CN"/>
        </w:rPr>
        <w:t>成都市技师学院</w:t>
      </w:r>
    </w:p>
    <w:p>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color w:val="auto"/>
          <w:sz w:val="24"/>
          <w:highlight w:val="none"/>
          <w:lang w:eastAsia="zh-CN"/>
        </w:rPr>
        <w:t>成都市郫都区红光街道港通北三路1899号</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 系 人：</w:t>
      </w:r>
      <w:r>
        <w:rPr>
          <w:rFonts w:hint="eastAsia" w:ascii="宋体" w:hAnsi="宋体" w:cs="微软雅黑"/>
          <w:color w:val="auto"/>
          <w:sz w:val="24"/>
          <w:highlight w:val="none"/>
          <w:lang w:eastAsia="zh-CN"/>
        </w:rPr>
        <w:t>王老师</w:t>
      </w:r>
    </w:p>
    <w:p>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cs="微软雅黑"/>
          <w:color w:val="auto"/>
          <w:sz w:val="24"/>
          <w:highlight w:val="none"/>
          <w:lang w:eastAsia="zh-CN"/>
        </w:rPr>
        <w:t>028-64907283</w:t>
      </w:r>
    </w:p>
    <w:p>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采购代理机构：四川铭信工程招标咨询有限公司 </w:t>
      </w:r>
    </w:p>
    <w:p>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址：成都市高新区高朋大道21号。</w:t>
      </w:r>
    </w:p>
    <w:p>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    编：610000</w:t>
      </w:r>
    </w:p>
    <w:p>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eastAsia="宋体" w:cs="宋体"/>
          <w:b w:val="0"/>
          <w:bCs w:val="0"/>
          <w:color w:val="auto"/>
          <w:sz w:val="24"/>
          <w:szCs w:val="24"/>
          <w:highlight w:val="none"/>
          <w:lang w:val="en-US" w:eastAsia="zh-CN"/>
        </w:rPr>
        <w:t>陈女士</w:t>
      </w:r>
    </w:p>
    <w:p>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w:t>
      </w:r>
      <w:r>
        <w:rPr>
          <w:rFonts w:hint="eastAsia" w:ascii="宋体" w:hAnsi="宋体" w:cs="微软雅黑"/>
          <w:color w:val="auto"/>
          <w:sz w:val="24"/>
          <w:highlight w:val="none"/>
          <w:lang w:eastAsia="zh-CN"/>
        </w:rPr>
        <w:t>13558776674</w:t>
      </w:r>
    </w:p>
    <w:p>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电子邮件：scmxgczx@163.com</w:t>
      </w:r>
    </w:p>
    <w:p>
      <w:pPr>
        <w:spacing w:line="240" w:lineRule="auto"/>
        <w:rPr>
          <w:color w:val="auto"/>
          <w:highlight w:val="none"/>
        </w:rPr>
      </w:pPr>
    </w:p>
    <w:p>
      <w:pPr>
        <w:pStyle w:val="2"/>
        <w:spacing w:line="240" w:lineRule="auto"/>
        <w:rPr>
          <w:color w:val="auto"/>
          <w:highlight w:val="none"/>
        </w:rPr>
        <w:sectPr>
          <w:footerReference r:id="rId3" w:type="default"/>
          <w:pgSz w:w="11905" w:h="16838"/>
          <w:pgMar w:top="1417" w:right="1417" w:bottom="1417" w:left="1417" w:header="0" w:footer="1134" w:gutter="0"/>
          <w:cols w:space="425" w:num="1"/>
        </w:sect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9" w:name="_Toc205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第二章  投标人须知</w:t>
      </w:r>
      <w:bookmarkEnd w:id="9"/>
    </w:p>
    <w:p>
      <w:pPr>
        <w:spacing w:line="240" w:lineRule="auto"/>
        <w:rPr>
          <w:color w:val="auto"/>
          <w:highlight w:val="none"/>
        </w:rPr>
      </w:pPr>
    </w:p>
    <w:p>
      <w:pPr>
        <w:spacing w:line="240" w:lineRule="auto"/>
        <w:ind w:firstLine="622" w:firstLineChars="200"/>
        <w:jc w:val="center"/>
        <w:outlineLvl w:val="1"/>
        <w:rPr>
          <w:rFonts w:ascii="宋体" w:hAnsi="宋体" w:eastAsia="宋体" w:cs="宋体"/>
          <w:b/>
          <w:bCs/>
          <w:color w:val="auto"/>
          <w:sz w:val="31"/>
          <w:szCs w:val="31"/>
          <w:highlight w:val="none"/>
        </w:rPr>
      </w:pPr>
      <w:bookmarkStart w:id="10" w:name="_Toc8096"/>
      <w:bookmarkStart w:id="11" w:name="_Toc30521"/>
      <w:r>
        <w:rPr>
          <w:rFonts w:hint="eastAsia" w:ascii="宋体" w:hAnsi="宋体" w:eastAsia="宋体" w:cs="宋体"/>
          <w:b/>
          <w:bCs/>
          <w:color w:val="auto"/>
          <w:sz w:val="31"/>
          <w:szCs w:val="31"/>
          <w:highlight w:val="none"/>
        </w:rPr>
        <w:t>一、投标人须知附表</w:t>
      </w:r>
      <w:bookmarkEnd w:id="10"/>
      <w:bookmarkEnd w:id="11"/>
    </w:p>
    <w:tbl>
      <w:tblPr>
        <w:tblStyle w:val="23"/>
        <w:tblW w:w="9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750"/>
        <w:gridCol w:w="68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50"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条款名称</w:t>
            </w:r>
          </w:p>
        </w:tc>
        <w:tc>
          <w:tcPr>
            <w:tcW w:w="6898"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说明和要求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856" w:type="dxa"/>
            <w:tcBorders>
              <w:tl2br w:val="nil"/>
              <w:tr2bl w:val="nil"/>
            </w:tcBorders>
            <w:vAlign w:val="center"/>
          </w:tcPr>
          <w:p>
            <w:pPr>
              <w:spacing w:line="240" w:lineRule="auto"/>
              <w:jc w:val="center"/>
              <w:rPr>
                <w:color w:val="auto"/>
                <w:sz w:val="24"/>
                <w:szCs w:val="24"/>
                <w:highlight w:val="none"/>
              </w:rPr>
            </w:pPr>
          </w:p>
          <w:p>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50" w:type="dxa"/>
            <w:tcBorders>
              <w:tl2br w:val="nil"/>
              <w:tr2bl w:val="nil"/>
            </w:tcBorders>
            <w:vAlign w:val="center"/>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pPr>
              <w:spacing w:line="240" w:lineRule="auto"/>
              <w:jc w:val="both"/>
              <w:rPr>
                <w:rFonts w:hint="eastAsia" w:ascii="宋体" w:hAnsi="宋体" w:eastAsia="宋体" w:cs="宋体"/>
                <w:color w:val="auto"/>
                <w:sz w:val="24"/>
                <w:szCs w:val="24"/>
                <w:highlight w:val="none"/>
                <w:lang w:val="en-US" w:eastAsia="zh-CN"/>
              </w:rPr>
            </w:pPr>
            <w:r>
              <w:rPr>
                <w:rFonts w:ascii="宋体" w:hAnsi="宋体" w:eastAsia="宋体" w:cs="宋体"/>
                <w:b/>
                <w:bCs/>
                <w:color w:val="auto"/>
                <w:sz w:val="24"/>
                <w:szCs w:val="24"/>
                <w:highlight w:val="none"/>
              </w:rPr>
              <w:t>最高限价：</w:t>
            </w:r>
            <w:r>
              <w:rPr>
                <w:rFonts w:hint="default" w:ascii="宋体" w:hAnsi="宋体" w:eastAsia="宋体" w:cs="宋体"/>
                <w:color w:val="auto"/>
                <w:sz w:val="24"/>
                <w:szCs w:val="24"/>
                <w:highlight w:val="none"/>
              </w:rPr>
              <w:t>120元/套</w:t>
            </w:r>
            <w:r>
              <w:rPr>
                <w:rFonts w:hint="eastAsia" w:ascii="宋体" w:hAnsi="宋体" w:eastAsia="宋体" w:cs="宋体"/>
                <w:b/>
                <w:bCs/>
                <w:color w:val="auto"/>
                <w:sz w:val="24"/>
                <w:szCs w:val="24"/>
                <w:highlight w:val="none"/>
              </w:rPr>
              <w:t>。</w:t>
            </w:r>
          </w:p>
          <w:p>
            <w:pPr>
              <w:spacing w:line="240" w:lineRule="auto"/>
              <w:jc w:val="both"/>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投标人在单价最高限价的基础上进行整体下浮报价，报价不得为负数</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超过最高限价的报价为无效投标。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750"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898" w:type="dxa"/>
            <w:tcBorders>
              <w:tl2br w:val="nil"/>
              <w:tr2bl w:val="nil"/>
            </w:tcBorders>
            <w:vAlign w:val="center"/>
          </w:tcPr>
          <w:p>
            <w:pPr>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0" w:type="dxa"/>
            <w:tcBorders>
              <w:tl2br w:val="nil"/>
              <w:tr2bl w:val="nil"/>
            </w:tcBorders>
            <w:vAlign w:val="center"/>
          </w:tcPr>
          <w:p>
            <w:pPr>
              <w:pStyle w:val="24"/>
              <w:spacing w:line="240" w:lineRule="auto"/>
              <w:ind w:left="96"/>
              <w:jc w:val="center"/>
              <w:rPr>
                <w:rFonts w:ascii="宋体" w:hAnsi="宋体" w:eastAsia="宋体" w:cs="宋体"/>
                <w:b/>
                <w:bCs/>
                <w:color w:val="auto"/>
                <w:sz w:val="24"/>
                <w:szCs w:val="24"/>
                <w:highlight w:val="none"/>
              </w:rPr>
            </w:pPr>
            <w:r>
              <w:rPr>
                <w:rFonts w:hint="eastAsia"/>
                <w:snapToGrid w:val="0"/>
                <w:color w:val="auto"/>
                <w:sz w:val="24"/>
                <w:szCs w:val="24"/>
                <w:highlight w:val="none"/>
                <w:lang w:val="zh-CN"/>
              </w:rPr>
              <w:t>评标方法</w:t>
            </w:r>
          </w:p>
        </w:tc>
        <w:tc>
          <w:tcPr>
            <w:tcW w:w="6898" w:type="dxa"/>
            <w:tcBorders>
              <w:tl2br w:val="nil"/>
              <w:tr2bl w:val="nil"/>
            </w:tcBorders>
            <w:vAlign w:val="center"/>
          </w:tcPr>
          <w:p>
            <w:pPr>
              <w:pStyle w:val="24"/>
              <w:spacing w:line="240" w:lineRule="auto"/>
              <w:rPr>
                <w:rFonts w:ascii="宋体" w:hAnsi="宋体" w:eastAsia="宋体" w:cs="宋体"/>
                <w:color w:val="auto"/>
                <w:sz w:val="24"/>
                <w:szCs w:val="24"/>
                <w:highlight w:val="none"/>
              </w:rPr>
            </w:pPr>
            <w:r>
              <w:rPr>
                <w:rFonts w:hint="eastAsia"/>
                <w:snapToGrid w:val="0"/>
                <w:color w:val="auto"/>
                <w:sz w:val="24"/>
                <w:szCs w:val="24"/>
                <w:highlight w:val="none"/>
                <w:lang w:val="zh-CN"/>
              </w:rPr>
              <w:t>综合评分法(详见第</w:t>
            </w:r>
            <w:r>
              <w:rPr>
                <w:rFonts w:hint="eastAsia"/>
                <w:snapToGrid w:val="0"/>
                <w:color w:val="auto"/>
                <w:sz w:val="24"/>
                <w:szCs w:val="24"/>
                <w:highlight w:val="none"/>
              </w:rPr>
              <w:t>七</w:t>
            </w:r>
            <w:r>
              <w:rPr>
                <w:rFonts w:hint="eastAsia"/>
                <w:snapToGrid w:val="0"/>
                <w:color w:val="auto"/>
                <w:sz w:val="24"/>
                <w:szCs w:val="24"/>
                <w:highlight w:val="none"/>
                <w:lang w:val="zh-CN"/>
              </w:rPr>
              <w:t>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0" w:type="dxa"/>
            <w:tcBorders>
              <w:tl2br w:val="nil"/>
              <w:tr2bl w:val="nil"/>
            </w:tcBorders>
            <w:vAlign w:val="center"/>
          </w:tcPr>
          <w:p>
            <w:pPr>
              <w:spacing w:line="240" w:lineRule="auto"/>
              <w:jc w:val="center"/>
              <w:rPr>
                <w:snapToGrid w:val="0"/>
                <w:color w:val="auto"/>
                <w:sz w:val="24"/>
                <w:szCs w:val="24"/>
                <w:highlight w:val="none"/>
              </w:rPr>
            </w:pPr>
            <w:r>
              <w:rPr>
                <w:rFonts w:hint="eastAsia" w:ascii="宋体" w:hAnsi="宋体" w:eastAsia="宋体" w:cs="宋体"/>
                <w:b/>
                <w:bCs/>
                <w:color w:val="auto"/>
                <w:sz w:val="24"/>
                <w:szCs w:val="24"/>
                <w:highlight w:val="none"/>
              </w:rPr>
              <w:t>是否专门面向中小企业</w:t>
            </w:r>
          </w:p>
        </w:tc>
        <w:tc>
          <w:tcPr>
            <w:tcW w:w="6898" w:type="dxa"/>
            <w:tcBorders>
              <w:tl2br w:val="nil"/>
              <w:tr2bl w:val="nil"/>
            </w:tcBorders>
            <w:vAlign w:val="center"/>
          </w:tcPr>
          <w:p>
            <w:pPr>
              <w:spacing w:line="240" w:lineRule="auto"/>
              <w:jc w:val="both"/>
              <w:rPr>
                <w:snapToGrid w:val="0"/>
                <w:color w:val="auto"/>
                <w:sz w:val="24"/>
                <w:szCs w:val="24"/>
                <w:highlight w:val="none"/>
              </w:rPr>
            </w:pPr>
            <w:r>
              <w:rPr>
                <w:rFonts w:hint="eastAsia" w:ascii="宋体" w:hAnsi="宋体" w:eastAsia="宋体" w:cs="宋体"/>
                <w:b/>
                <w:bCs/>
                <w:color w:val="auto"/>
                <w:sz w:val="24"/>
                <w:szCs w:val="24"/>
                <w:highlight w:val="none"/>
              </w:rPr>
              <w:t>本项目专门面向中小企业：是□；否</w:t>
            </w:r>
            <w:r>
              <w:rPr>
                <w:rFonts w:hint="eastAsia" w:ascii="宋体" w:hAnsi="宋体" w:eastAsia="宋体" w:cs="宋体"/>
                <w:b/>
                <w:bCs/>
                <w:color w:val="auto"/>
                <w:sz w:val="24"/>
                <w:szCs w:val="24"/>
                <w:highlight w:val="none"/>
                <w:lang w:eastAsia="zh-CN"/>
              </w:rPr>
              <w:sym w:font="Wingdings" w:char="00FE"/>
            </w:r>
            <w:r>
              <w:rPr>
                <w:rFonts w:hint="eastAsia" w:ascii="宋体" w:hAnsi="宋体" w:eastAsia="宋体" w:cs="宋体"/>
                <w:b/>
                <w:bCs/>
                <w:color w:val="auto"/>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0" w:type="dxa"/>
            <w:tcBorders>
              <w:tl2br w:val="nil"/>
              <w:tr2bl w:val="nil"/>
            </w:tcBorders>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p>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本项目不允许联合体投标。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0"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进口产品</w:t>
            </w:r>
          </w:p>
        </w:tc>
        <w:tc>
          <w:tcPr>
            <w:tcW w:w="6898" w:type="dxa"/>
            <w:tcBorders>
              <w:tl2br w:val="nil"/>
              <w:tr2bl w:val="nil"/>
            </w:tcBorders>
            <w:vAlign w:val="center"/>
          </w:tcPr>
          <w:p>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本项目不涉及进口产品。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0" w:type="dxa"/>
            <w:tcBorders>
              <w:tl2br w:val="nil"/>
              <w:tr2bl w:val="nil"/>
            </w:tcBorders>
            <w:vAlign w:val="center"/>
          </w:tcPr>
          <w:p>
            <w:pPr>
              <w:spacing w:line="240" w:lineRule="auto"/>
              <w:jc w:val="center"/>
              <w:rPr>
                <w:color w:val="auto"/>
                <w:sz w:val="24"/>
                <w:szCs w:val="24"/>
                <w:highlight w:val="none"/>
              </w:rPr>
            </w:pPr>
          </w:p>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低于成本价不正当竞争预防措施</w:t>
            </w:r>
          </w:p>
          <w:p>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tcPr>
          <w:p>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 (应根据供应商企业类型予以区别) 、税金及附加、销售费用、管理费用、财务费用等成本构成事项详细陈述。</w:t>
            </w:r>
          </w:p>
          <w:p>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供应商书面说明应当签字确认或者加盖公章，否则无效。书面说明的签字确认，供应商为法人的，由其法定代表人或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签字确认；供应商为其他组织的，由其主要负责人或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签字确认；供应商为自然人的，由其本人或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w:t>
            </w:r>
          </w:p>
          <w:p>
            <w:pPr>
              <w:spacing w:line="240" w:lineRule="auto"/>
              <w:ind w:firstLine="481"/>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0" w:type="dxa"/>
            <w:tcBorders>
              <w:tl2br w:val="nil"/>
              <w:tr2bl w:val="nil"/>
            </w:tcBorders>
            <w:vAlign w:val="center"/>
          </w:tcPr>
          <w:p>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促进中小企业发展</w:t>
            </w:r>
          </w:p>
        </w:tc>
        <w:tc>
          <w:tcPr>
            <w:tcW w:w="6898" w:type="dxa"/>
            <w:tcBorders>
              <w:tl2br w:val="nil"/>
              <w:tr2bl w:val="nil"/>
            </w:tcBorders>
          </w:tcPr>
          <w:p>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促进中小企业发展 (监狱企业、残疾人福利性单位视同小微企业)。</w:t>
            </w:r>
          </w:p>
          <w:p>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1.根据《政府采购促进中小企业发展管理办法》（财库[2020]46号）和《关于进一步加大政府采购支持中小企业力度的通知》（财库〔2022〕19 号）的规定，对小型和微型企业产品的价格给予10%的价格扣除，用扣除后的价格参与评审。</w:t>
            </w:r>
          </w:p>
          <w:p>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3．根据《三部门联合发布关于促进残疾人就业政府采购政策的通知》（财库 〔2017〕141 号）的规定，残疾人福利性单位属于小型、微型企业的，不重复享受政策。参加采购活动的残疾人福利性单位应当提供《残疾人福利性单位声明函》原件（本项目成交供应商属于残疾人福利性单位的，在结果公告中将同时公示其声明函）。 </w:t>
            </w:r>
          </w:p>
          <w:p>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4.供应商在参加采购活动时，提供以上虚假声明或证明材料的，按《中华人民共和国政府采购法》第七十七条规定处理。 </w:t>
            </w:r>
          </w:p>
          <w:p>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符合中小企业划型标准的个体工商户，在采购活动中视同中小企业。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vAlign w:val="center"/>
          </w:tcPr>
          <w:p>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0" w:type="dxa"/>
            <w:tcBorders>
              <w:tl2br w:val="nil"/>
              <w:tr2bl w:val="nil"/>
            </w:tcBorders>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本项目标的名称及所属行业</w:t>
            </w:r>
          </w:p>
        </w:tc>
        <w:tc>
          <w:tcPr>
            <w:tcW w:w="6898" w:type="dxa"/>
            <w:tcBorders>
              <w:tl2br w:val="nil"/>
              <w:tr2bl w:val="nil"/>
            </w:tcBorders>
            <w:vAlign w:val="center"/>
          </w:tcPr>
          <w:p>
            <w:pPr>
              <w:spacing w:line="24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rPr>
              <w:t>1.标的名称：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21" w:type="dxa"/>
                  <w:vMerge w:val="restart"/>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军训服套装</w:t>
                  </w: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迷彩帽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长袖迷彩军训服（含上衣、下装）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迷彩T恤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编织外腰带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迷彩胶鞋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皮内腰带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vMerge w:val="continue"/>
                  <w:vAlign w:val="center"/>
                </w:tcPr>
                <w:p>
                  <w:pPr>
                    <w:spacing w:line="360" w:lineRule="exact"/>
                    <w:jc w:val="center"/>
                    <w:rPr>
                      <w:rFonts w:hint="eastAsia" w:ascii="宋体" w:hAnsi="宋体" w:eastAsia="宋体" w:cs="宋体"/>
                      <w:b w:val="0"/>
                      <w:bCs w:val="0"/>
                      <w:color w:val="auto"/>
                      <w:sz w:val="24"/>
                      <w:szCs w:val="24"/>
                      <w:highlight w:val="none"/>
                      <w:vertAlign w:val="baseline"/>
                    </w:rPr>
                  </w:pPr>
                </w:p>
              </w:tc>
              <w:tc>
                <w:tcPr>
                  <w:tcW w:w="3998" w:type="dxa"/>
                  <w:vAlign w:val="center"/>
                </w:tcPr>
                <w:p>
                  <w:pPr>
                    <w:spacing w:line="360" w:lineRule="exact"/>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highlight w:val="none"/>
                    </w:rPr>
                    <w:t>肩章</w:t>
                  </w:r>
                </w:p>
              </w:tc>
            </w:tr>
          </w:tbl>
          <w:p>
            <w:pPr>
              <w:spacing w:line="240" w:lineRule="auto"/>
              <w:rPr>
                <w:rFonts w:hint="eastAsia" w:ascii="宋体" w:hAnsi="宋体" w:eastAsia="宋体" w:cs="宋体"/>
                <w:b/>
                <w:bCs/>
                <w:color w:val="auto"/>
                <w:sz w:val="24"/>
                <w:szCs w:val="24"/>
                <w:highlight w:val="none"/>
              </w:rPr>
            </w:pPr>
          </w:p>
          <w:p>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2.所属行业：</w:t>
            </w:r>
            <w:r>
              <w:rPr>
                <w:rFonts w:hint="eastAsia" w:ascii="宋体" w:hAnsi="宋体" w:eastAsia="宋体" w:cs="宋体"/>
                <w:b/>
                <w:bCs/>
                <w:color w:val="auto"/>
                <w:sz w:val="24"/>
                <w:szCs w:val="24"/>
                <w:highlight w:val="none"/>
                <w:lang w:eastAsia="zh-CN"/>
              </w:rPr>
              <w:t>工业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0" w:type="dxa"/>
            <w:tcBorders>
              <w:tl2br w:val="nil"/>
              <w:tr2bl w:val="nil"/>
            </w:tcBorders>
            <w:vAlign w:val="center"/>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w:t>
            </w:r>
          </w:p>
        </w:tc>
        <w:tc>
          <w:tcPr>
            <w:tcW w:w="6898" w:type="dxa"/>
            <w:tcBorders>
              <w:tl2br w:val="nil"/>
              <w:tr2bl w:val="nil"/>
            </w:tcBorders>
            <w:vAlign w:val="center"/>
          </w:tcPr>
          <w:p>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本项目不收取投标保证金。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0" w:type="dxa"/>
            <w:tcBorders>
              <w:tl2br w:val="nil"/>
              <w:tr2bl w:val="nil"/>
            </w:tcBorders>
            <w:vAlign w:val="center"/>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898" w:type="dxa"/>
            <w:tcBorders>
              <w:tl2br w:val="nil"/>
              <w:tr2bl w:val="nil"/>
            </w:tcBorders>
            <w:vAlign w:val="center"/>
          </w:tcPr>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（1）履约保证金为</w:t>
            </w:r>
            <w:r>
              <w:rPr>
                <w:rFonts w:hint="eastAsia" w:ascii="宋体" w:hAnsi="宋体" w:eastAsia="宋体" w:cs="宋体"/>
                <w:b/>
                <w:bCs/>
                <w:color w:val="auto"/>
                <w:sz w:val="24"/>
                <w:szCs w:val="24"/>
                <w:highlight w:val="none"/>
                <w:lang w:val="en-US" w:eastAsia="zh-CN"/>
              </w:rPr>
              <w:t>30000元</w:t>
            </w:r>
            <w:r>
              <w:rPr>
                <w:rFonts w:hint="eastAsia" w:ascii="宋体" w:hAnsi="宋体" w:eastAsia="宋体" w:cs="宋体"/>
                <w:b/>
                <w:bCs/>
                <w:color w:val="auto"/>
                <w:sz w:val="24"/>
                <w:szCs w:val="24"/>
                <w:highlight w:val="none"/>
              </w:rPr>
              <w:t>，投标人应在中标通知书发出之日起至合同签订前以银行转账</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形式向</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提交履约保证金。</w:t>
            </w:r>
          </w:p>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（2）履行合同约定(含售后服务)完毕且</w:t>
            </w:r>
            <w:r>
              <w:rPr>
                <w:rFonts w:hint="eastAsia" w:ascii="宋体" w:hAnsi="宋体" w:eastAsia="宋体" w:cs="宋体"/>
                <w:b/>
                <w:bCs/>
                <w:color w:val="auto"/>
                <w:sz w:val="24"/>
                <w:szCs w:val="24"/>
                <w:highlight w:val="none"/>
                <w:lang w:val="en-US" w:eastAsia="zh-CN"/>
              </w:rPr>
              <w:t>货物和售后服务全部</w:t>
            </w:r>
            <w:r>
              <w:rPr>
                <w:rFonts w:hint="eastAsia" w:ascii="宋体" w:hAnsi="宋体" w:eastAsia="宋体" w:cs="宋体"/>
                <w:b/>
                <w:bCs/>
                <w:color w:val="auto"/>
                <w:sz w:val="24"/>
                <w:szCs w:val="24"/>
                <w:highlight w:val="none"/>
              </w:rPr>
              <w:t>验收合格后，无质量问题和违约责任情况。10个日历天内无息退还投标人应退部分履约保证金。因</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原因逾期退还的，应当以未退还金额为基数，按合同订立时1年期贷款市场报价利率标准向投标人支付相应违约金，但违约金最高不得超过未退还金额的百分之二十。若因投标人不及时或未提供“收到退还履约保证金的收据”、“履约保证金退还申请”的，则</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不承担逾期退还违约责任。</w:t>
            </w:r>
          </w:p>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（3）履约保证金汇入的银行及账号：</w:t>
            </w:r>
          </w:p>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收款账号：成都市技师学院</w:t>
            </w:r>
          </w:p>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开户行：工行四川成都分行郫都红光支行</w:t>
            </w:r>
          </w:p>
          <w:p>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银行账号：4402054609100031151</w:t>
            </w:r>
          </w:p>
          <w:p>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履约保证金不予退还情形:一是投标人未按合同要求履行的，其履约保证金全部扣除。二是投标人缴纳了履约保证金，但因自身原因被取消成交资格或在成交公示期满之日起30个日历天(含法定节假日)内投标人不按招标文件确定的事项与</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签订合同的，其履约保证金不予退还。三是法律法规或合同约定的其他情形。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0" w:type="dxa"/>
            <w:tcBorders>
              <w:tl2br w:val="nil"/>
              <w:tr2bl w:val="nil"/>
            </w:tcBorders>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合同分包</w:t>
            </w:r>
          </w:p>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pPr>
              <w:spacing w:line="240" w:lineRule="auto"/>
              <w:jc w:val="both"/>
              <w:rPr>
                <w:rFonts w:ascii="宋体" w:hAnsi="宋体" w:eastAsia="宋体" w:cs="宋体"/>
                <w:b/>
                <w:bCs/>
                <w:color w:val="auto"/>
                <w:sz w:val="24"/>
                <w:szCs w:val="24"/>
                <w:highlight w:val="none"/>
              </w:rPr>
            </w:pPr>
            <w:r>
              <w:rPr>
                <w:rFonts w:hint="eastAsia"/>
                <w:color w:val="auto"/>
                <w:sz w:val="24"/>
                <w:szCs w:val="24"/>
                <w:highlight w:val="none"/>
              </w:rPr>
              <w:t>本项目</w:t>
            </w:r>
            <w:r>
              <w:rPr>
                <w:rFonts w:hint="eastAsia" w:eastAsia="宋体"/>
                <w:color w:val="auto"/>
                <w:sz w:val="24"/>
                <w:szCs w:val="24"/>
                <w:highlight w:val="none"/>
                <w:lang w:val="en-US" w:eastAsia="zh-CN"/>
              </w:rPr>
              <w:t>不接受</w:t>
            </w:r>
            <w:r>
              <w:rPr>
                <w:rFonts w:hint="eastAsia"/>
                <w:color w:val="auto"/>
                <w:sz w:val="24"/>
                <w:szCs w:val="24"/>
                <w:highlight w:val="none"/>
              </w:rPr>
              <w:t>合同分包。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0"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询问</w:t>
            </w:r>
          </w:p>
        </w:tc>
        <w:tc>
          <w:tcPr>
            <w:tcW w:w="6898" w:type="dxa"/>
            <w:tcBorders>
              <w:tl2br w:val="nil"/>
              <w:tr2bl w:val="nil"/>
            </w:tcBorders>
            <w:vAlign w:val="center"/>
          </w:tcPr>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根据委托代理协议约定，投标人询问由四川铭信工程招标咨询有限公司负责答复</w:t>
            </w:r>
            <w:r>
              <w:rPr>
                <w:rFonts w:hint="eastAsia" w:ascii="宋体" w:hAnsi="宋体" w:eastAsia="宋体" w:cs="宋体"/>
                <w:color w:val="auto"/>
                <w:sz w:val="24"/>
                <w:szCs w:val="24"/>
                <w:highlight w:val="none"/>
                <w:lang w:val="zh-CN"/>
              </w:rPr>
              <w:t>。</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陈女士</w:t>
            </w:r>
            <w:r>
              <w:rPr>
                <w:rFonts w:hint="eastAsia" w:ascii="宋体" w:hAnsi="宋体" w:eastAsia="宋体" w:cs="宋体"/>
                <w:color w:val="auto"/>
                <w:sz w:val="24"/>
                <w:szCs w:val="24"/>
                <w:highlight w:val="none"/>
                <w:lang w:val="zh-CN"/>
              </w:rPr>
              <w:t xml:space="preserve"> </w:t>
            </w:r>
          </w:p>
          <w:p>
            <w:pPr>
              <w:spacing w:line="24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0" w:type="dxa"/>
            <w:tcBorders>
              <w:tl2br w:val="nil"/>
              <w:tr2bl w:val="nil"/>
            </w:tcBorders>
            <w:vAlign w:val="center"/>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质疑</w:t>
            </w:r>
          </w:p>
        </w:tc>
        <w:tc>
          <w:tcPr>
            <w:tcW w:w="6898" w:type="dxa"/>
            <w:tcBorders>
              <w:tl2br w:val="nil"/>
              <w:tr2bl w:val="nil"/>
            </w:tcBorders>
            <w:vAlign w:val="center"/>
          </w:tcPr>
          <w:p>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于招标文件的技术、商务部分的质疑由成都市技师学院负责解释，四川铭信工程招标咨询有限公司负责答复；对于文件其他部分及流程、招标结果由四川铭信工程招标咨询有限公司负责答复。投标人在法定质疑期内应一次性提出针对同一招标程序环节的质疑（针对同一招标程序环节一次以上的质疑不予受理）。</w:t>
            </w:r>
          </w:p>
          <w:p>
            <w:pPr>
              <w:spacing w:line="240" w:lineRule="auto"/>
              <w:rPr>
                <w:rFonts w:ascii="宋体" w:hAnsi="宋体" w:eastAsia="宋体" w:cs="宋体"/>
                <w:color w:val="auto"/>
                <w:sz w:val="24"/>
                <w:szCs w:val="24"/>
                <w:highlight w:val="none"/>
                <w:lang w:val="zh-CN"/>
              </w:rPr>
            </w:pPr>
            <w:r>
              <w:rPr>
                <w:rFonts w:hint="eastAsia" w:ascii="宋体"/>
                <w:color w:val="auto"/>
                <w:sz w:val="24"/>
                <w:szCs w:val="24"/>
                <w:highlight w:val="none"/>
                <w:lang w:val="zh-CN"/>
              </w:rPr>
              <w:t>接收方式：邮寄或现场递交，质疑函必须为书面形式并符合相关法律法规的要求。</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陈女士</w:t>
            </w:r>
            <w:r>
              <w:rPr>
                <w:rFonts w:hint="eastAsia" w:ascii="宋体" w:hAnsi="宋体" w:eastAsia="宋体" w:cs="宋体"/>
                <w:color w:val="auto"/>
                <w:sz w:val="24"/>
                <w:szCs w:val="24"/>
                <w:highlight w:val="none"/>
                <w:lang w:val="zh-CN"/>
              </w:rPr>
              <w:t xml:space="preserve"> </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1、对招标文件提出质疑时间：为购买招标文件之日起七个工作日内；</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2、对招标过程提出质疑时间：为各招标程序环节结束之日起七个工作日内；</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3、对招标结果提出质疑时间：为招标结果公告发布次日后七个工作日内；</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《政府采购质疑和投诉办法》的规定，投标人质疑不得超出招标文件、招标过程、招标结果的范围；</w:t>
            </w:r>
          </w:p>
          <w:p>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5、1-4每个阶段的质疑应在一次质疑函中全部提出全有事项。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0" w:type="dxa"/>
            <w:tcBorders>
              <w:tl2br w:val="nil"/>
              <w:tr2bl w:val="nil"/>
            </w:tcBorders>
            <w:vAlign w:val="center"/>
          </w:tcPr>
          <w:p>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节能、环保及无线局域网产品政府采购政策</w:t>
            </w:r>
          </w:p>
        </w:tc>
        <w:tc>
          <w:tcPr>
            <w:tcW w:w="6898" w:type="dxa"/>
            <w:tcBorders>
              <w:tl2br w:val="nil"/>
              <w:tr2bl w:val="nil"/>
            </w:tcBorders>
            <w:vAlign w:val="center"/>
          </w:tcPr>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、节能、环保产品政府采购政策：</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本项目采购的产品属于品目清单强制采购范围的，供应商应按上述要求提供产品认证证书复印件并加盖供应商单位公章，否则投标无效。</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本项目采购的产品属于品目清单优先采购范围的，按照第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注：对政府采购节能产品、环境标志产品实施品目清单管理。财政部、发展改革委、生态环境部等部门确定实施政府优先采购和强制采购的产品类别，以品目清单的形式发布并适时调整。</w:t>
            </w:r>
          </w:p>
          <w:p>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二、无线局域网产品政府采购政策：</w:t>
            </w:r>
          </w:p>
          <w:p>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本项目采购的产品属于中国政府采购网公布的《无线局域网认证产品政府采购清单》的，按照第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56" w:type="dxa"/>
            <w:tcBorders>
              <w:tl2br w:val="nil"/>
              <w:tr2bl w:val="nil"/>
            </w:tcBorders>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750" w:type="dxa"/>
            <w:tcBorders>
              <w:tl2br w:val="nil"/>
              <w:tr2bl w:val="nil"/>
            </w:tcBorders>
            <w:vAlign w:val="center"/>
          </w:tcPr>
          <w:p>
            <w:pPr>
              <w:spacing w:line="24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与</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w:t>
            </w:r>
          </w:p>
          <w:p>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制作</w:t>
            </w:r>
          </w:p>
        </w:tc>
        <w:tc>
          <w:tcPr>
            <w:tcW w:w="6898" w:type="dxa"/>
            <w:tcBorders>
              <w:tl2br w:val="nil"/>
              <w:tr2bl w:val="nil"/>
            </w:tcBorders>
            <w:vAlign w:val="center"/>
          </w:tcPr>
          <w:p>
            <w:pPr>
              <w:spacing w:line="240" w:lineRule="auto"/>
              <w:jc w:val="both"/>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和</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文件制作均以“包”为单位。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856" w:type="dxa"/>
            <w:tcBorders>
              <w:tl2br w:val="nil"/>
              <w:tr2bl w:val="nil"/>
            </w:tcBorders>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750" w:type="dxa"/>
            <w:tcBorders>
              <w:tl2br w:val="nil"/>
              <w:tr2bl w:val="nil"/>
            </w:tcBorders>
            <w:vAlign w:val="center"/>
          </w:tcPr>
          <w:p>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中标通知书领取</w:t>
            </w:r>
          </w:p>
        </w:tc>
        <w:tc>
          <w:tcPr>
            <w:tcW w:w="6898" w:type="dxa"/>
            <w:tcBorders>
              <w:tl2br w:val="nil"/>
              <w:tr2bl w:val="nil"/>
            </w:tcBorders>
            <w:vAlign w:val="center"/>
          </w:tcPr>
          <w:p>
            <w:pPr>
              <w:pStyle w:val="24"/>
              <w:spacing w:line="240" w:lineRule="auto"/>
              <w:jc w:val="both"/>
              <w:rPr>
                <w:rFonts w:hint="eastAsia" w:ascii="宋体" w:hAnsi="宋体" w:eastAsia="宋体" w:cs="宋体"/>
                <w:color w:val="auto"/>
                <w:highlight w:val="none"/>
                <w:lang w:val="zh-CN"/>
              </w:rPr>
            </w:pPr>
            <w:r>
              <w:rPr>
                <w:rFonts w:hint="eastAsia"/>
                <w:color w:val="auto"/>
                <w:highlight w:val="none"/>
                <w:lang w:eastAsia="zh-Hans"/>
              </w:rPr>
              <w:t>成交结果公告</w:t>
            </w:r>
            <w:r>
              <w:rPr>
                <w:rFonts w:hint="eastAsia"/>
                <w:color w:val="auto"/>
                <w:highlight w:val="none"/>
                <w:lang w:val="zh-CN"/>
              </w:rPr>
              <w:t>在</w:t>
            </w:r>
            <w:r>
              <w:rPr>
                <w:rFonts w:hint="eastAsia"/>
                <w:bCs/>
                <w:color w:val="auto"/>
                <w:highlight w:val="none"/>
                <w:lang w:eastAsia="zh-CN"/>
              </w:rPr>
              <w:t>中国招标投标公共服务平台（http://www.cebpubservice.com/）</w:t>
            </w:r>
            <w:r>
              <w:rPr>
                <w:rFonts w:hint="eastAsia"/>
                <w:color w:val="auto"/>
                <w:highlight w:val="none"/>
                <w:lang w:val="zh-CN"/>
              </w:rPr>
              <w:t>上发布</w:t>
            </w:r>
            <w:r>
              <w:rPr>
                <w:color w:val="auto"/>
                <w:highlight w:val="none"/>
              </w:rPr>
              <w:t>，</w:t>
            </w:r>
            <w:r>
              <w:rPr>
                <w:rFonts w:hint="eastAsia"/>
                <w:color w:val="auto"/>
                <w:highlight w:val="none"/>
                <w:lang w:eastAsia="zh-Hans"/>
              </w:rPr>
              <w:t>公告发布后</w:t>
            </w:r>
            <w:r>
              <w:rPr>
                <w:color w:val="auto"/>
                <w:highlight w:val="none"/>
                <w:lang w:eastAsia="zh-Hans"/>
              </w:rPr>
              <w:t>，</w:t>
            </w:r>
            <w:r>
              <w:rPr>
                <w:rFonts w:hint="eastAsia"/>
                <w:color w:val="auto"/>
                <w:highlight w:val="none"/>
                <w:lang w:val="zh-CN"/>
              </w:rPr>
              <w:t>请成交供应商</w:t>
            </w:r>
            <w:r>
              <w:rPr>
                <w:rFonts w:hint="eastAsia"/>
                <w:color w:val="auto"/>
                <w:highlight w:val="none"/>
              </w:rPr>
              <w:t>与代</w:t>
            </w:r>
            <w:r>
              <w:rPr>
                <w:rFonts w:hint="eastAsia" w:ascii="宋体" w:hAnsi="宋体" w:eastAsia="宋体" w:cs="宋体"/>
                <w:color w:val="auto"/>
                <w:highlight w:val="none"/>
              </w:rPr>
              <w:t>理机构联系，以邮寄方式</w:t>
            </w:r>
            <w:r>
              <w:rPr>
                <w:rFonts w:hint="eastAsia" w:ascii="宋体" w:hAnsi="宋体" w:eastAsia="宋体" w:cs="宋体"/>
                <w:color w:val="auto"/>
                <w:highlight w:val="none"/>
                <w:lang w:val="zh-CN"/>
              </w:rPr>
              <w:t>领取成交通知书。</w:t>
            </w:r>
          </w:p>
          <w:p>
            <w:pPr>
              <w:pStyle w:val="24"/>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lang w:val="en-US" w:eastAsia="zh-CN"/>
              </w:rPr>
              <w:t>18780128100</w:t>
            </w:r>
            <w:r>
              <w:rPr>
                <w:rFonts w:hint="eastAsia" w:ascii="宋体" w:hAnsi="宋体" w:eastAsia="宋体" w:cs="宋体"/>
                <w:color w:val="auto"/>
                <w:highlight w:val="none"/>
                <w:lang w:val="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50" w:type="dxa"/>
            <w:tcBorders>
              <w:tl2br w:val="nil"/>
              <w:tr2bl w:val="nil"/>
            </w:tcBorders>
            <w:vAlign w:val="center"/>
          </w:tcPr>
          <w:p>
            <w:pPr>
              <w:kinsoku/>
              <w:spacing w:line="240" w:lineRule="auto"/>
              <w:ind w:right="105" w:rightChars="50"/>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招标代理服务费</w:t>
            </w:r>
          </w:p>
        </w:tc>
        <w:tc>
          <w:tcPr>
            <w:tcW w:w="6898" w:type="dxa"/>
            <w:tcBorders>
              <w:tl2br w:val="nil"/>
              <w:tr2bl w:val="nil"/>
            </w:tcBorders>
            <w:vAlign w:val="center"/>
          </w:tcPr>
          <w:p>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项目代理服务按照国家计委计价格[2002]1980号及发改办价格[2003]857号文规定的收费标准下浮25%收取，中标人在领取中标通知书前支付服务费给代理机构。</w:t>
            </w:r>
          </w:p>
          <w:p>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账号名称：四川铭信工程招标咨询有限公司</w:t>
            </w:r>
          </w:p>
          <w:p>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开户行：</w:t>
            </w:r>
            <w:r>
              <w:rPr>
                <w:rFonts w:hint="eastAsia" w:ascii="宋体" w:hAnsi="宋体" w:eastAsia="宋体" w:cs="宋体"/>
                <w:b w:val="0"/>
                <w:bCs w:val="0"/>
                <w:color w:val="auto"/>
                <w:sz w:val="24"/>
                <w:szCs w:val="24"/>
                <w:highlight w:val="none"/>
              </w:rPr>
              <w:t>四川银行股份有限公司成都天府广场支行</w:t>
            </w:r>
          </w:p>
          <w:p>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银行账号：</w:t>
            </w:r>
            <w:r>
              <w:rPr>
                <w:rFonts w:hint="eastAsia" w:ascii="宋体" w:hAnsi="宋体" w:eastAsia="宋体" w:cs="宋体"/>
                <w:b w:val="0"/>
                <w:bCs w:val="0"/>
                <w:color w:val="auto"/>
                <w:sz w:val="24"/>
                <w:szCs w:val="24"/>
                <w:highlight w:val="none"/>
              </w:rPr>
              <w:t>78220100072502592</w:t>
            </w:r>
          </w:p>
        </w:tc>
      </w:tr>
    </w:tbl>
    <w:p>
      <w:pPr>
        <w:spacing w:line="240" w:lineRule="auto"/>
        <w:ind w:firstLine="622" w:firstLineChars="200"/>
        <w:jc w:val="center"/>
        <w:rPr>
          <w:rFonts w:ascii="宋体" w:hAnsi="宋体" w:eastAsia="宋体" w:cs="宋体"/>
          <w:b/>
          <w:bCs/>
          <w:color w:val="auto"/>
          <w:sz w:val="31"/>
          <w:szCs w:val="31"/>
          <w:highlight w:val="none"/>
        </w:rPr>
      </w:pPr>
      <w:bookmarkStart w:id="12" w:name="_Toc31339"/>
    </w:p>
    <w:p>
      <w:pPr>
        <w:spacing w:line="240" w:lineRule="auto"/>
        <w:ind w:firstLine="622" w:firstLineChars="200"/>
        <w:jc w:val="center"/>
        <w:outlineLvl w:val="1"/>
        <w:rPr>
          <w:rFonts w:ascii="宋体" w:hAnsi="宋体" w:eastAsia="宋体" w:cs="宋体"/>
          <w:b/>
          <w:bCs/>
          <w:color w:val="auto"/>
          <w:sz w:val="31"/>
          <w:szCs w:val="31"/>
          <w:highlight w:val="none"/>
        </w:rPr>
      </w:pPr>
      <w:bookmarkStart w:id="13" w:name="_Toc12017"/>
      <w:r>
        <w:rPr>
          <w:rFonts w:hint="eastAsia" w:ascii="宋体" w:hAnsi="宋体" w:eastAsia="宋体" w:cs="宋体"/>
          <w:b/>
          <w:bCs/>
          <w:color w:val="auto"/>
          <w:sz w:val="31"/>
          <w:szCs w:val="31"/>
          <w:highlight w:val="none"/>
        </w:rPr>
        <w:t>二 、 总  则</w:t>
      </w:r>
      <w:bookmarkEnd w:id="12"/>
      <w:bookmarkEnd w:id="13"/>
    </w:p>
    <w:p>
      <w:pPr>
        <w:spacing w:line="240" w:lineRule="auto"/>
        <w:outlineLvl w:val="9"/>
        <w:rPr>
          <w:rFonts w:ascii="宋体" w:hAnsi="宋体" w:eastAsia="宋体" w:cs="宋体"/>
          <w:b/>
          <w:bCs/>
          <w:color w:val="auto"/>
          <w:sz w:val="24"/>
          <w:szCs w:val="24"/>
          <w:highlight w:val="none"/>
        </w:rPr>
      </w:pPr>
      <w:bookmarkStart w:id="14" w:name="_Toc18679"/>
      <w:bookmarkStart w:id="15" w:name="_Toc27740"/>
      <w:r>
        <w:rPr>
          <w:rFonts w:hint="eastAsia" w:ascii="宋体" w:hAnsi="宋体" w:eastAsia="宋体" w:cs="宋体"/>
          <w:b/>
          <w:bCs/>
          <w:color w:val="auto"/>
          <w:sz w:val="24"/>
          <w:szCs w:val="24"/>
          <w:highlight w:val="none"/>
        </w:rPr>
        <w:t>1.适用范围</w:t>
      </w:r>
      <w:bookmarkEnd w:id="14"/>
      <w:bookmarkEnd w:id="15"/>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1.1 本招标文件仅适用于本次招标采购项目。</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1.2 本招标文件的解释权归</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所有。</w:t>
      </w:r>
    </w:p>
    <w:p>
      <w:pPr>
        <w:spacing w:line="240" w:lineRule="auto"/>
        <w:outlineLvl w:val="9"/>
        <w:rPr>
          <w:rFonts w:ascii="宋体" w:hAnsi="宋体" w:eastAsia="宋体" w:cs="宋体"/>
          <w:b/>
          <w:bCs/>
          <w:color w:val="auto"/>
          <w:sz w:val="24"/>
          <w:szCs w:val="24"/>
          <w:highlight w:val="none"/>
        </w:rPr>
      </w:pPr>
      <w:bookmarkStart w:id="16" w:name="_Toc28213"/>
      <w:bookmarkStart w:id="17" w:name="_Toc22141"/>
      <w:r>
        <w:rPr>
          <w:rFonts w:hint="eastAsia" w:ascii="宋体" w:hAnsi="宋体" w:eastAsia="宋体" w:cs="宋体"/>
          <w:b/>
          <w:bCs/>
          <w:color w:val="auto"/>
          <w:sz w:val="24"/>
          <w:szCs w:val="24"/>
          <w:highlight w:val="none"/>
        </w:rPr>
        <w:t>2.有关定义</w:t>
      </w:r>
      <w:bookmarkEnd w:id="16"/>
      <w:bookmarkEnd w:id="17"/>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2.1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”系指依法进行采购的国家机关、事业单位、团体组织。本次招标的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成都市技师学院</w:t>
      </w:r>
      <w:r>
        <w:rPr>
          <w:rFonts w:hint="eastAsia" w:ascii="宋体" w:hAnsi="宋体" w:eastAsia="宋体" w:cs="宋体"/>
          <w:b/>
          <w:bCs/>
          <w:color w:val="auto"/>
          <w:sz w:val="24"/>
          <w:szCs w:val="24"/>
          <w:highlight w:val="none"/>
          <w:u w:val="single"/>
        </w:rPr>
        <w:t xml:space="preserve"> </w:t>
      </w:r>
      <w:r>
        <w:rPr>
          <w:rFonts w:ascii="宋体" w:hAnsi="宋体" w:eastAsia="宋体" w:cs="宋体"/>
          <w:color w:val="auto"/>
          <w:sz w:val="24"/>
          <w:szCs w:val="24"/>
          <w:highlight w:val="none"/>
        </w:rPr>
        <w:t>。</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2.2 “</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”系指根据</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的委托依法办理招标事宜的采购机构。本次招标的</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2.3 “招标采购单位”系指“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”的统称。</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2.4 “投标人”系指购买了招标文件拟参加投标和向</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提供货物及相应服务的供应商，同时本文件中因政策法规等原因出现描述不一致的“投标人”与“供应商”均属同一含义。</w:t>
      </w:r>
    </w:p>
    <w:p>
      <w:pPr>
        <w:spacing w:line="240" w:lineRule="auto"/>
        <w:outlineLvl w:val="9"/>
        <w:rPr>
          <w:rFonts w:ascii="宋体" w:hAnsi="宋体" w:eastAsia="宋体" w:cs="宋体"/>
          <w:b/>
          <w:bCs/>
          <w:color w:val="auto"/>
          <w:sz w:val="24"/>
          <w:szCs w:val="24"/>
          <w:highlight w:val="none"/>
        </w:rPr>
      </w:pPr>
      <w:bookmarkStart w:id="18" w:name="_Toc6383"/>
      <w:bookmarkStart w:id="19" w:name="_Toc16540"/>
      <w:r>
        <w:rPr>
          <w:rFonts w:hint="eastAsia" w:ascii="宋体" w:hAnsi="宋体" w:eastAsia="宋体" w:cs="宋体"/>
          <w:b/>
          <w:bCs/>
          <w:color w:val="auto"/>
          <w:sz w:val="24"/>
          <w:szCs w:val="24"/>
          <w:highlight w:val="none"/>
        </w:rPr>
        <w:t>3.合格的投标人 (实质性要求)</w:t>
      </w:r>
      <w:bookmarkEnd w:id="18"/>
      <w:bookmarkEnd w:id="19"/>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合格的投标人应具备以下条件：</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3.1 本招标文件规定的供应商资格条件；</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3.2 遵守国家有关的法律、法规、规章和其他政策制度；</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不属于禁止参加本项目采购活动的供应商；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按规定获取了招标文件</w:t>
      </w:r>
      <w:r>
        <w:rPr>
          <w:rFonts w:ascii="宋体" w:hAnsi="宋体" w:eastAsia="宋体" w:cs="宋体"/>
          <w:color w:val="auto"/>
          <w:sz w:val="24"/>
          <w:szCs w:val="24"/>
          <w:highlight w:val="none"/>
        </w:rPr>
        <w:t>。</w:t>
      </w:r>
    </w:p>
    <w:p>
      <w:pPr>
        <w:spacing w:line="240" w:lineRule="auto"/>
        <w:outlineLvl w:val="9"/>
        <w:rPr>
          <w:rFonts w:ascii="宋体" w:hAnsi="宋体" w:eastAsia="宋体" w:cs="宋体"/>
          <w:b/>
          <w:bCs/>
          <w:color w:val="auto"/>
          <w:sz w:val="24"/>
          <w:szCs w:val="24"/>
          <w:highlight w:val="none"/>
        </w:rPr>
      </w:pPr>
      <w:bookmarkStart w:id="20" w:name="_Toc30882"/>
      <w:bookmarkStart w:id="21" w:name="_Toc3991"/>
      <w:r>
        <w:rPr>
          <w:rFonts w:hint="eastAsia" w:ascii="宋体" w:hAnsi="宋体" w:eastAsia="宋体" w:cs="宋体"/>
          <w:b/>
          <w:bCs/>
          <w:color w:val="auto"/>
          <w:sz w:val="24"/>
          <w:szCs w:val="24"/>
          <w:highlight w:val="none"/>
        </w:rPr>
        <w:t>4.投标费用 (实质性要求)</w:t>
      </w:r>
      <w:bookmarkEnd w:id="20"/>
      <w:bookmarkEnd w:id="21"/>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投标人参加投标的有关费用由投标人自行承担。</w:t>
      </w:r>
    </w:p>
    <w:p>
      <w:pPr>
        <w:spacing w:line="240" w:lineRule="auto"/>
        <w:outlineLvl w:val="9"/>
        <w:rPr>
          <w:rFonts w:ascii="宋体" w:hAnsi="宋体" w:eastAsia="宋体" w:cs="宋体"/>
          <w:b/>
          <w:bCs/>
          <w:color w:val="auto"/>
          <w:sz w:val="24"/>
          <w:szCs w:val="24"/>
          <w:highlight w:val="none"/>
        </w:rPr>
      </w:pPr>
      <w:bookmarkStart w:id="22" w:name="_Toc27215"/>
      <w:bookmarkStart w:id="23" w:name="_Toc10194"/>
      <w:r>
        <w:rPr>
          <w:rFonts w:hint="eastAsia" w:ascii="宋体" w:hAnsi="宋体" w:eastAsia="宋体" w:cs="宋体"/>
          <w:b/>
          <w:bCs/>
          <w:color w:val="auto"/>
          <w:sz w:val="24"/>
          <w:szCs w:val="24"/>
          <w:highlight w:val="none"/>
        </w:rPr>
        <w:t>5.充分、公平竞争保障措施 (实质性要求)</w:t>
      </w:r>
      <w:bookmarkEnd w:id="22"/>
      <w:bookmarkEnd w:id="23"/>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1</w:t>
      </w:r>
      <w:r>
        <w:rPr>
          <w:rFonts w:ascii="宋体" w:hAnsi="宋体" w:eastAsia="宋体" w:cs="宋体"/>
          <w:b/>
          <w:bCs/>
          <w:color w:val="auto"/>
          <w:sz w:val="24"/>
          <w:szCs w:val="24"/>
          <w:highlight w:val="none"/>
        </w:rPr>
        <w:t xml:space="preserve"> 利害关系供应商处理。</w:t>
      </w:r>
      <w:r>
        <w:rPr>
          <w:rFonts w:ascii="宋体" w:hAnsi="宋体" w:eastAsia="宋体" w:cs="宋体"/>
          <w:color w:val="auto"/>
          <w:sz w:val="24"/>
          <w:szCs w:val="24"/>
          <w:highlight w:val="none"/>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前期参与供应商处理。</w:t>
      </w:r>
      <w:r>
        <w:rPr>
          <w:rFonts w:ascii="宋体" w:hAnsi="宋体" w:eastAsia="宋体" w:cs="宋体"/>
          <w:color w:val="auto"/>
          <w:sz w:val="24"/>
          <w:szCs w:val="24"/>
          <w:highlight w:val="none"/>
        </w:rPr>
        <w:t>为采购项目提供整体设计、规范编制或者项目管理、监理、检测等服务的供应商，不得再参加该采购项目的其他采购活动。供应商为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利害关系代理人处理。</w:t>
      </w:r>
      <w:r>
        <w:rPr>
          <w:rFonts w:hint="eastAsia" w:ascii="宋体" w:hAnsi="宋体" w:eastAsia="宋体" w:cs="宋体"/>
          <w:color w:val="auto"/>
          <w:sz w:val="24"/>
          <w:szCs w:val="24"/>
          <w:highlight w:val="none"/>
        </w:rPr>
        <w:t>两</w:t>
      </w:r>
      <w:r>
        <w:rPr>
          <w:rFonts w:ascii="宋体" w:hAnsi="宋体" w:eastAsia="宋体" w:cs="宋体"/>
          <w:color w:val="auto"/>
          <w:sz w:val="24"/>
          <w:szCs w:val="24"/>
          <w:highlight w:val="none"/>
        </w:rPr>
        <w:t>家以上的供应商不得在同一合同项下的采购项目中，同时委托同一个自然人、同一家庭的人员、同一单位的人员作为其</w:t>
      </w:r>
      <w:r>
        <w:rPr>
          <w:rFonts w:hint="eastAsia" w:ascii="宋体" w:hAnsi="宋体" w:eastAsia="宋体" w:cs="宋体"/>
          <w:color w:val="auto"/>
          <w:sz w:val="24"/>
          <w:szCs w:val="24"/>
          <w:highlight w:val="none"/>
        </w:rPr>
        <w:t>授权代表人，</w:t>
      </w:r>
      <w:r>
        <w:rPr>
          <w:rFonts w:ascii="宋体" w:hAnsi="宋体" w:eastAsia="宋体" w:cs="宋体"/>
          <w:color w:val="auto"/>
          <w:sz w:val="24"/>
          <w:szCs w:val="24"/>
          <w:highlight w:val="none"/>
        </w:rPr>
        <w:t>否则，其投标文件作为无效处理。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供应商实际控制人或者中高级管理人员，同时是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工作人员，不得参与本项目采购活动。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 xml:space="preserve"> 供应商与</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存在关联关系，或者是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的母公司或子公司，不得参加本项目采购活动。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回避。采购活动中，</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员及相关人员与供应商有下列利害关系之一的，应当回避：</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(1)参加采购活动前3年内与供应商存在劳动关系；</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(2)参加采购活动前3年内担任供应商的董事、监事；</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(3)参加采购活动前3年内是供应商的控股股东或者实际控制人；</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(4)与供应商的法定代表人或者负责人有夫妻、直系血亲、三代以内旁系血亲或者近姻亲关系；</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(5)与供应商有其他可能影响采购活动公平、公正进行的关系。</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本项目采购活动中需要依法回避的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员是指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内部负责采购项目的具体经办工作人员和直接分管采购项目的负责人，以及</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负责采购项目的具体经办工作人员和直接分管采购活动的负责人。本项目采购活动中需要依法回避的相关人员是指评标委员会成员。</w:t>
      </w:r>
    </w:p>
    <w:p>
      <w:pPr>
        <w:spacing w:line="240" w:lineRule="auto"/>
        <w:ind w:firstLine="240" w:firstLineChars="100"/>
        <w:rPr>
          <w:rFonts w:ascii="宋体" w:hAnsi="宋体" w:eastAsia="宋体" w:cs="宋体"/>
          <w:color w:val="auto"/>
          <w:sz w:val="23"/>
          <w:szCs w:val="23"/>
          <w:highlight w:val="none"/>
        </w:rPr>
      </w:pPr>
      <w:r>
        <w:rPr>
          <w:rFonts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员及相关人员与其他供应商有利害关系的，可以向</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书面提出回避申请，并说明理由。</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将及时询问被申请回避人员，有利害关系的被申请回避人员应当回避。</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24" w:name="_Toc21423"/>
      <w:bookmarkStart w:id="25" w:name="_Toc29728"/>
      <w:r>
        <w:rPr>
          <w:rFonts w:hint="eastAsia" w:ascii="宋体" w:hAnsi="宋体" w:eastAsia="宋体" w:cs="宋体"/>
          <w:b/>
          <w:bCs/>
          <w:color w:val="auto"/>
          <w:sz w:val="31"/>
          <w:szCs w:val="31"/>
          <w:highlight w:val="none"/>
        </w:rPr>
        <w:t>三、招标文件</w:t>
      </w:r>
      <w:bookmarkEnd w:id="24"/>
      <w:bookmarkEnd w:id="25"/>
    </w:p>
    <w:p>
      <w:pPr>
        <w:spacing w:line="240" w:lineRule="auto"/>
        <w:outlineLvl w:val="9"/>
        <w:rPr>
          <w:rFonts w:ascii="宋体" w:hAnsi="宋体" w:eastAsia="宋体" w:cs="宋体"/>
          <w:b/>
          <w:bCs/>
          <w:color w:val="auto"/>
          <w:sz w:val="24"/>
          <w:szCs w:val="24"/>
          <w:highlight w:val="none"/>
        </w:rPr>
      </w:pPr>
      <w:bookmarkStart w:id="26" w:name="_Toc26538"/>
      <w:bookmarkStart w:id="27" w:name="_Toc30193"/>
      <w:r>
        <w:rPr>
          <w:rFonts w:hint="eastAsia" w:ascii="宋体" w:hAnsi="宋体" w:eastAsia="宋体" w:cs="宋体"/>
          <w:b/>
          <w:bCs/>
          <w:color w:val="auto"/>
          <w:sz w:val="24"/>
          <w:szCs w:val="24"/>
          <w:highlight w:val="none"/>
        </w:rPr>
        <w:t>6.招标文件的构成</w:t>
      </w:r>
      <w:bookmarkEnd w:id="26"/>
      <w:bookmarkEnd w:id="27"/>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(一) 投标邀请；</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(二) 投标人须知；</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(三) 投标文件格式；</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(四) 投标人和投标产品的资格、资质性及其他类似效力要求；</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投标人应当提供的资格、资质性及其他类似效力要求的相关证明材料；</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(六) 招标项目技术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及商务要求；</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(七) 评标办法；</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(八) 合同主要条款。</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w:t>
      </w:r>
    </w:p>
    <w:p>
      <w:pPr>
        <w:spacing w:line="240" w:lineRule="auto"/>
        <w:outlineLvl w:val="9"/>
        <w:rPr>
          <w:rFonts w:ascii="宋体" w:hAnsi="宋体" w:eastAsia="宋体" w:cs="宋体"/>
          <w:b/>
          <w:bCs/>
          <w:color w:val="auto"/>
          <w:sz w:val="24"/>
          <w:szCs w:val="24"/>
          <w:highlight w:val="none"/>
        </w:rPr>
      </w:pPr>
      <w:bookmarkStart w:id="28" w:name="_Toc5879"/>
      <w:bookmarkStart w:id="29" w:name="_Toc2852"/>
      <w:r>
        <w:rPr>
          <w:rFonts w:hint="eastAsia" w:ascii="宋体" w:hAnsi="宋体" w:eastAsia="宋体" w:cs="宋体"/>
          <w:b/>
          <w:bCs/>
          <w:color w:val="auto"/>
          <w:sz w:val="24"/>
          <w:szCs w:val="24"/>
          <w:highlight w:val="none"/>
        </w:rPr>
        <w:t>7.招标文件的澄清和修改</w:t>
      </w:r>
      <w:bookmarkEnd w:id="28"/>
      <w:bookmarkEnd w:id="29"/>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.1 招标采购单位可以依法对招标文件进行澄清或者修改。</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w:t>
      </w:r>
      <w:r>
        <w:rPr>
          <w:rFonts w:hint="eastAsia" w:ascii="宋体" w:hAnsi="宋体" w:eastAsia="宋体" w:cs="宋体"/>
          <w:color w:val="auto"/>
          <w:sz w:val="24"/>
          <w:szCs w:val="24"/>
          <w:highlight w:val="none"/>
        </w:rPr>
        <w:t>中国招标投标公共服务平台（http://www.cebpubservice.com/）</w:t>
      </w:r>
      <w:r>
        <w:rPr>
          <w:rFonts w:ascii="宋体" w:hAnsi="宋体" w:eastAsia="宋体" w:cs="宋体"/>
          <w:color w:val="auto"/>
          <w:sz w:val="24"/>
          <w:szCs w:val="24"/>
          <w:highlight w:val="none"/>
        </w:rPr>
        <w:t>发布更正公告；不足15日的，应当顺延提交投标文件的截止时间。该澄清或者修改的内容为招标文件的组成部分。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.3 在投标截止时间前，招标采购单位可以视采购具体情况，延长投标截止时间和开标时间。</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.4 投标人认为需要对招标文件进行澄清或者修改的，可以以书面形式向招标采购单位提出申请，但招标采购单位可以决定是否采纳投标人的申请事项。</w:t>
      </w:r>
    </w:p>
    <w:p>
      <w:pPr>
        <w:spacing w:line="240" w:lineRule="auto"/>
        <w:outlineLvl w:val="9"/>
        <w:rPr>
          <w:rFonts w:ascii="宋体" w:hAnsi="宋体" w:eastAsia="宋体" w:cs="宋体"/>
          <w:b/>
          <w:bCs/>
          <w:color w:val="auto"/>
          <w:sz w:val="24"/>
          <w:szCs w:val="24"/>
          <w:highlight w:val="none"/>
        </w:rPr>
      </w:pPr>
      <w:bookmarkStart w:id="30" w:name="_Toc29062"/>
      <w:bookmarkStart w:id="31" w:name="_Toc21063"/>
      <w:r>
        <w:rPr>
          <w:rFonts w:hint="eastAsia" w:ascii="宋体" w:hAnsi="宋体" w:eastAsia="宋体" w:cs="宋体"/>
          <w:b/>
          <w:bCs/>
          <w:color w:val="auto"/>
          <w:sz w:val="24"/>
          <w:szCs w:val="24"/>
          <w:highlight w:val="none"/>
        </w:rPr>
        <w:t>8.答疑会和现场考察</w:t>
      </w:r>
      <w:bookmarkEnd w:id="30"/>
      <w:bookmarkEnd w:id="31"/>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供应商考察现场所发生的一切费用由供应商自己承担。</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现场考察/标前答疑会时间：本项目不组织。</w:t>
      </w:r>
    </w:p>
    <w:p>
      <w:pPr>
        <w:spacing w:line="240" w:lineRule="auto"/>
        <w:ind w:firstLine="241" w:firstLineChars="100"/>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现场考察/标前答疑会地点：本项目不组织。</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32" w:name="_Toc11956"/>
      <w:bookmarkStart w:id="33" w:name="_Toc9364"/>
      <w:r>
        <w:rPr>
          <w:rFonts w:hint="eastAsia" w:ascii="宋体" w:hAnsi="宋体" w:eastAsia="宋体" w:cs="宋体"/>
          <w:b/>
          <w:bCs/>
          <w:color w:val="auto"/>
          <w:sz w:val="31"/>
          <w:szCs w:val="31"/>
          <w:highlight w:val="none"/>
        </w:rPr>
        <w:t>四、投标文件</w:t>
      </w:r>
      <w:bookmarkEnd w:id="32"/>
      <w:bookmarkEnd w:id="33"/>
    </w:p>
    <w:p>
      <w:pPr>
        <w:spacing w:line="240" w:lineRule="auto"/>
        <w:rPr>
          <w:color w:val="auto"/>
          <w:highlight w:val="none"/>
        </w:rPr>
      </w:pPr>
    </w:p>
    <w:p>
      <w:pPr>
        <w:spacing w:line="240" w:lineRule="auto"/>
        <w:outlineLvl w:val="9"/>
        <w:rPr>
          <w:rFonts w:ascii="宋体" w:hAnsi="宋体" w:eastAsia="宋体" w:cs="宋体"/>
          <w:b/>
          <w:bCs/>
          <w:color w:val="auto"/>
          <w:sz w:val="24"/>
          <w:szCs w:val="24"/>
          <w:highlight w:val="none"/>
        </w:rPr>
      </w:pPr>
      <w:bookmarkStart w:id="34" w:name="_Toc18013"/>
      <w:bookmarkStart w:id="35" w:name="_Toc17087"/>
      <w:r>
        <w:rPr>
          <w:rFonts w:hint="eastAsia" w:ascii="宋体" w:hAnsi="宋体" w:eastAsia="宋体" w:cs="宋体"/>
          <w:b/>
          <w:bCs/>
          <w:color w:val="auto"/>
          <w:sz w:val="24"/>
          <w:szCs w:val="24"/>
          <w:highlight w:val="none"/>
        </w:rPr>
        <w:t>9.投标文件的语言 (实质性要求)</w:t>
      </w:r>
      <w:bookmarkEnd w:id="34"/>
      <w:bookmarkEnd w:id="35"/>
    </w:p>
    <w:p>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9.1 投标人提交的投标文件以及投标人与招标采购单位就有关投标的所有来往书面文件均须使用中文。</w:t>
      </w:r>
      <w:r>
        <w:rPr>
          <w:rFonts w:hint="eastAsia" w:ascii="宋体" w:hAnsi="宋体" w:eastAsia="宋体" w:cs="宋体"/>
          <w:b/>
          <w:bCs/>
          <w:color w:val="auto"/>
          <w:sz w:val="24"/>
          <w:szCs w:val="24"/>
          <w:highlight w:val="none"/>
        </w:rPr>
        <w:t>投标文件中如附有外文资料，必须逐一对应翻译成中文并加盖投标人公章后附在相关外文资料后面，否则，该外文资料将可能被视为无效材料。(说明：供应商的法定代表人或负责人为外籍人士的，法定代表人或负责人的签字和护照除外。)</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翻译的中文资料与外文资料如果出现差异和矛盾时，以中文为准。涉嫌虚假响应的按照相关法律法规处理。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未翻译的外文资料，评标委员会可将其视为无效材料。</w:t>
      </w:r>
    </w:p>
    <w:p>
      <w:pPr>
        <w:spacing w:line="240" w:lineRule="auto"/>
        <w:outlineLvl w:val="9"/>
        <w:rPr>
          <w:rFonts w:ascii="宋体" w:hAnsi="宋体" w:eastAsia="宋体" w:cs="宋体"/>
          <w:b/>
          <w:bCs/>
          <w:color w:val="auto"/>
          <w:sz w:val="24"/>
          <w:szCs w:val="24"/>
          <w:highlight w:val="none"/>
        </w:rPr>
      </w:pPr>
      <w:bookmarkStart w:id="36" w:name="_Toc935"/>
      <w:bookmarkStart w:id="37" w:name="_Toc17534"/>
      <w:r>
        <w:rPr>
          <w:rFonts w:hint="eastAsia" w:ascii="宋体" w:hAnsi="宋体" w:eastAsia="宋体" w:cs="宋体"/>
          <w:b/>
          <w:bCs/>
          <w:color w:val="auto"/>
          <w:sz w:val="24"/>
          <w:szCs w:val="24"/>
          <w:highlight w:val="none"/>
        </w:rPr>
        <w:t>10.计量单位 (实质性要求)</w:t>
      </w:r>
      <w:bookmarkEnd w:id="36"/>
      <w:bookmarkEnd w:id="37"/>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除招标文件中另有规定外，本次采购项目所有合同项下的投标均采用国家法定的计量单位。</w:t>
      </w:r>
    </w:p>
    <w:p>
      <w:pPr>
        <w:spacing w:line="240" w:lineRule="auto"/>
        <w:outlineLvl w:val="9"/>
        <w:rPr>
          <w:rFonts w:ascii="宋体" w:hAnsi="宋体" w:eastAsia="宋体" w:cs="宋体"/>
          <w:b/>
          <w:bCs/>
          <w:color w:val="auto"/>
          <w:sz w:val="24"/>
          <w:szCs w:val="24"/>
          <w:highlight w:val="none"/>
        </w:rPr>
      </w:pPr>
      <w:bookmarkStart w:id="38" w:name="_Toc6193"/>
      <w:bookmarkStart w:id="39" w:name="_Toc10586"/>
      <w:r>
        <w:rPr>
          <w:rFonts w:hint="eastAsia" w:ascii="宋体" w:hAnsi="宋体" w:eastAsia="宋体" w:cs="宋体"/>
          <w:b/>
          <w:bCs/>
          <w:color w:val="auto"/>
          <w:sz w:val="24"/>
          <w:szCs w:val="24"/>
          <w:highlight w:val="none"/>
        </w:rPr>
        <w:t>11.投标货币 (实质性要求)</w:t>
      </w:r>
      <w:bookmarkEnd w:id="38"/>
      <w:bookmarkEnd w:id="39"/>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pPr>
        <w:spacing w:line="240" w:lineRule="auto"/>
        <w:outlineLvl w:val="9"/>
        <w:rPr>
          <w:rFonts w:ascii="宋体" w:hAnsi="宋体" w:eastAsia="宋体" w:cs="宋体"/>
          <w:b/>
          <w:bCs/>
          <w:color w:val="auto"/>
          <w:sz w:val="24"/>
          <w:szCs w:val="24"/>
          <w:highlight w:val="none"/>
        </w:rPr>
      </w:pPr>
      <w:bookmarkStart w:id="40" w:name="_Toc2356"/>
      <w:bookmarkStart w:id="41" w:name="_Toc9144"/>
      <w:r>
        <w:rPr>
          <w:rFonts w:hint="eastAsia" w:ascii="宋体" w:hAnsi="宋体" w:eastAsia="宋体" w:cs="宋体"/>
          <w:b/>
          <w:bCs/>
          <w:color w:val="auto"/>
          <w:sz w:val="24"/>
          <w:szCs w:val="24"/>
          <w:highlight w:val="none"/>
        </w:rPr>
        <w:t>12.联合体投标 (实质性要求)</w:t>
      </w:r>
      <w:bookmarkEnd w:id="40"/>
      <w:bookmarkEnd w:id="41"/>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本次招标不接受联合体投标。</w:t>
      </w:r>
    </w:p>
    <w:p>
      <w:pPr>
        <w:spacing w:line="240" w:lineRule="auto"/>
        <w:outlineLvl w:val="9"/>
        <w:rPr>
          <w:rFonts w:ascii="宋体" w:hAnsi="宋体" w:eastAsia="宋体" w:cs="宋体"/>
          <w:b/>
          <w:bCs/>
          <w:color w:val="auto"/>
          <w:sz w:val="24"/>
          <w:szCs w:val="24"/>
          <w:highlight w:val="none"/>
        </w:rPr>
      </w:pPr>
      <w:bookmarkStart w:id="42" w:name="_Toc9644"/>
      <w:bookmarkStart w:id="43" w:name="_Toc19716"/>
      <w:r>
        <w:rPr>
          <w:rFonts w:hint="eastAsia" w:ascii="宋体" w:hAnsi="宋体" w:eastAsia="宋体" w:cs="宋体"/>
          <w:b/>
          <w:bCs/>
          <w:color w:val="auto"/>
          <w:sz w:val="24"/>
          <w:szCs w:val="24"/>
          <w:highlight w:val="none"/>
        </w:rPr>
        <w:t>13.知识产权 (实质性要求)</w:t>
      </w:r>
      <w:bookmarkEnd w:id="42"/>
      <w:bookmarkEnd w:id="43"/>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招标人享有本项目实施过程中产生的知识成果及知识产权。</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投标人如欲在项目实施过程中采用自有知识成果，</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在投标文件中声明，并提供相关知识产权证明文件。使用该知识成果后，投标人需提供开发接口和开发手册等技术文档，并承诺提供无限期技术支持，招标人享有永久使用权(含招标人委托第三方在该项目后续开发的使用权) 。</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 如采用投标人所不拥有的知识产权，则在投标报价中必须包括合法获取该知识产权的相关费用。</w:t>
      </w:r>
    </w:p>
    <w:p>
      <w:pPr>
        <w:spacing w:line="240" w:lineRule="auto"/>
        <w:outlineLvl w:val="9"/>
        <w:rPr>
          <w:rFonts w:ascii="宋体" w:hAnsi="宋体" w:eastAsia="宋体" w:cs="宋体"/>
          <w:b/>
          <w:bCs/>
          <w:color w:val="auto"/>
          <w:sz w:val="24"/>
          <w:szCs w:val="24"/>
          <w:highlight w:val="none"/>
        </w:rPr>
      </w:pPr>
      <w:bookmarkStart w:id="44" w:name="_Toc27512"/>
      <w:bookmarkStart w:id="45" w:name="_Toc29270"/>
      <w:r>
        <w:rPr>
          <w:rFonts w:hint="eastAsia" w:ascii="宋体" w:hAnsi="宋体" w:eastAsia="宋体" w:cs="宋体"/>
          <w:b/>
          <w:bCs/>
          <w:color w:val="auto"/>
          <w:sz w:val="24"/>
          <w:szCs w:val="24"/>
          <w:highlight w:val="none"/>
        </w:rPr>
        <w:t>14.投标文件的组成</w:t>
      </w:r>
      <w:bookmarkEnd w:id="44"/>
      <w:bookmarkEnd w:id="45"/>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投标人应按照招标文件的规定和要求编制投标文件。投标人拟在中标后将中标项目的非主体、非关键性工作交由他人分包完成的，应当在投标文件中载明。投标人编写的投标文件应包括下列两部分：</w:t>
      </w:r>
    </w:p>
    <w:p>
      <w:pPr>
        <w:spacing w:line="240" w:lineRule="auto"/>
        <w:outlineLvl w:val="9"/>
        <w:rPr>
          <w:rFonts w:ascii="宋体" w:hAnsi="宋体" w:eastAsia="宋体" w:cs="宋体"/>
          <w:b/>
          <w:bCs/>
          <w:color w:val="auto"/>
          <w:sz w:val="24"/>
          <w:szCs w:val="24"/>
          <w:highlight w:val="none"/>
        </w:rPr>
      </w:pPr>
      <w:bookmarkStart w:id="46" w:name="_Toc25525"/>
      <w:bookmarkStart w:id="47" w:name="_Toc1820"/>
      <w:r>
        <w:rPr>
          <w:rFonts w:hint="eastAsia" w:ascii="宋体" w:hAnsi="宋体" w:eastAsia="宋体" w:cs="宋体"/>
          <w:b/>
          <w:bCs/>
          <w:color w:val="auto"/>
          <w:sz w:val="24"/>
          <w:szCs w:val="24"/>
          <w:highlight w:val="none"/>
        </w:rPr>
        <w:t>14.1 第一部分:资格性投标文件</w:t>
      </w:r>
      <w:bookmarkEnd w:id="46"/>
      <w:bookmarkEnd w:id="47"/>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按照招标文件第四、五章要求，提供相关资格、资质性及其他类似效力要求的相关证明材料。</w:t>
      </w:r>
    </w:p>
    <w:p>
      <w:pPr>
        <w:spacing w:line="240" w:lineRule="auto"/>
        <w:outlineLvl w:val="9"/>
        <w:rPr>
          <w:rFonts w:ascii="宋体" w:hAnsi="宋体" w:eastAsia="宋体" w:cs="宋体"/>
          <w:b/>
          <w:bCs/>
          <w:color w:val="auto"/>
          <w:sz w:val="24"/>
          <w:szCs w:val="24"/>
          <w:highlight w:val="none"/>
        </w:rPr>
      </w:pPr>
      <w:bookmarkStart w:id="48" w:name="_Toc23733"/>
      <w:bookmarkStart w:id="49" w:name="_Toc28961"/>
      <w:r>
        <w:rPr>
          <w:rFonts w:hint="eastAsia" w:ascii="宋体" w:hAnsi="宋体" w:eastAsia="宋体" w:cs="宋体"/>
          <w:b/>
          <w:bCs/>
          <w:color w:val="auto"/>
          <w:sz w:val="24"/>
          <w:szCs w:val="24"/>
          <w:highlight w:val="none"/>
        </w:rPr>
        <w:t>14.2 第二部分:其他响应性投标文件</w:t>
      </w:r>
      <w:bookmarkEnd w:id="48"/>
      <w:bookmarkEnd w:id="49"/>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 (包括但不限于) 以下五个方面的相关材料。</w:t>
      </w:r>
    </w:p>
    <w:p>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14.2.1 报价部分。</w:t>
      </w:r>
      <w:r>
        <w:rPr>
          <w:rFonts w:ascii="宋体" w:hAnsi="宋体" w:eastAsia="宋体" w:cs="宋体"/>
          <w:color w:val="auto"/>
          <w:sz w:val="24"/>
          <w:szCs w:val="24"/>
          <w:highlight w:val="none"/>
        </w:rPr>
        <w:t>投标人按照招标文件要求填写的“开标一览表”。本次招标报价要求：</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投标人的报价是投标人响应招标项目要求的全部工作内容的价格体现，包括投标人完成本项目所需的一切费用(实质性要求) 。</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投标人每种货物只允许有一个报价，并且在合同履行过程中是固定不变的，任何有选择或可调整的报价将不予接受，并按无效投标处理 (实质性要求) 。</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14.2.2 技术、服务部分。</w:t>
      </w:r>
      <w:r>
        <w:rPr>
          <w:rFonts w:hint="eastAsia" w:ascii="宋体" w:hAnsi="宋体" w:eastAsia="宋体" w:cs="宋体"/>
          <w:color w:val="auto"/>
          <w:sz w:val="24"/>
          <w:szCs w:val="24"/>
          <w:highlight w:val="none"/>
        </w:rPr>
        <w:t>投标人按照招标文件要求做出的</w:t>
      </w:r>
      <w:r>
        <w:rPr>
          <w:rFonts w:hint="eastAsia" w:ascii="宋体" w:hAnsi="宋体" w:eastAsia="宋体" w:cs="宋体"/>
          <w:b/>
          <w:bCs/>
          <w:color w:val="auto"/>
          <w:sz w:val="24"/>
          <w:szCs w:val="24"/>
          <w:highlight w:val="none"/>
        </w:rPr>
        <w:t>技术、</w:t>
      </w:r>
      <w:r>
        <w:rPr>
          <w:rFonts w:hint="eastAsia" w:ascii="宋体" w:hAnsi="宋体" w:eastAsia="宋体" w:cs="宋体"/>
          <w:color w:val="auto"/>
          <w:sz w:val="24"/>
          <w:szCs w:val="24"/>
          <w:highlight w:val="none"/>
        </w:rPr>
        <w:t>服务应答，主要是针对招标项目的技术、服务内容做出的实质性响应和满足。投标人的</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color w:val="auto"/>
          <w:sz w:val="24"/>
          <w:szCs w:val="24"/>
          <w:highlight w:val="none"/>
        </w:rPr>
        <w:t>应答包括下列内容（如涉及）：</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技术实施方案、服务方案、售后方案等</w:t>
      </w:r>
      <w:r>
        <w:rPr>
          <w:rFonts w:hint="eastAsia" w:ascii="宋体" w:hAnsi="宋体" w:eastAsia="宋体" w:cs="宋体"/>
          <w:color w:val="auto"/>
          <w:sz w:val="24"/>
          <w:szCs w:val="24"/>
          <w:highlight w:val="none"/>
        </w:rPr>
        <w:t>；</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应答表；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投标人认为需要提供的文件和资料。</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14.2.3 商务部分。</w:t>
      </w:r>
      <w:r>
        <w:rPr>
          <w:rFonts w:hint="eastAsia" w:ascii="宋体" w:hAnsi="宋体" w:eastAsia="宋体" w:cs="宋体"/>
          <w:color w:val="auto"/>
          <w:sz w:val="24"/>
          <w:szCs w:val="24"/>
          <w:highlight w:val="none"/>
        </w:rPr>
        <w:t>投标人按照招标文件要求提供的有关文件及优惠承诺。</w:t>
      </w:r>
    </w:p>
    <w:p>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包括以下内容（如涉及）：</w:t>
      </w:r>
    </w:p>
    <w:p>
      <w:pPr>
        <w:numPr>
          <w:ilvl w:val="0"/>
          <w:numId w:val="3"/>
        </w:num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商务应答表；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投标人基本情况表；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投标人类似项目业绩一览表；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投标人本项目拟任管理、技术、服务人员情况表；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投标人认为需要提供的文件和资料以及综合评分所需的材料。</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14.2.4 后续服务。</w:t>
      </w:r>
      <w:r>
        <w:rPr>
          <w:rFonts w:hint="eastAsia" w:ascii="宋体" w:hAnsi="宋体" w:eastAsia="宋体" w:cs="宋体"/>
          <w:color w:val="auto"/>
          <w:sz w:val="24"/>
          <w:szCs w:val="24"/>
          <w:highlight w:val="none"/>
        </w:rPr>
        <w:t>投标人按照招标文件中后续服务要求作出的积极响应和承诺。</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14.2.5 其他部分。</w:t>
      </w:r>
      <w:r>
        <w:rPr>
          <w:rFonts w:hint="eastAsia" w:ascii="宋体" w:hAnsi="宋体" w:eastAsia="宋体" w:cs="宋体"/>
          <w:color w:val="auto"/>
          <w:sz w:val="24"/>
          <w:szCs w:val="24"/>
          <w:highlight w:val="none"/>
        </w:rPr>
        <w:t>投标人按照招标文件要求作出的其他应答和承诺。</w:t>
      </w:r>
    </w:p>
    <w:p>
      <w:pPr>
        <w:spacing w:line="240" w:lineRule="auto"/>
        <w:outlineLvl w:val="9"/>
        <w:rPr>
          <w:rFonts w:ascii="宋体" w:hAnsi="宋体" w:eastAsia="宋体" w:cs="宋体"/>
          <w:b/>
          <w:bCs/>
          <w:color w:val="auto"/>
          <w:sz w:val="24"/>
          <w:szCs w:val="24"/>
          <w:highlight w:val="none"/>
        </w:rPr>
      </w:pPr>
      <w:bookmarkStart w:id="50" w:name="_Toc20681"/>
      <w:bookmarkStart w:id="51" w:name="_Toc22129"/>
      <w:r>
        <w:rPr>
          <w:rFonts w:hint="eastAsia" w:ascii="宋体" w:hAnsi="宋体" w:eastAsia="宋体" w:cs="宋体"/>
          <w:b/>
          <w:bCs/>
          <w:color w:val="auto"/>
          <w:sz w:val="24"/>
          <w:szCs w:val="24"/>
          <w:highlight w:val="none"/>
        </w:rPr>
        <w:t>15.投标文件格式</w:t>
      </w:r>
      <w:bookmarkEnd w:id="50"/>
      <w:bookmarkEnd w:id="51"/>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投标人应执行招标文件第三章的规定要求。</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对于没有格式要求的投标文件由投标人自行编写。</w:t>
      </w:r>
    </w:p>
    <w:p>
      <w:pPr>
        <w:spacing w:line="240" w:lineRule="auto"/>
        <w:outlineLvl w:val="9"/>
        <w:rPr>
          <w:rFonts w:ascii="宋体" w:hAnsi="宋体" w:eastAsia="宋体" w:cs="宋体"/>
          <w:b/>
          <w:bCs/>
          <w:color w:val="auto"/>
          <w:sz w:val="24"/>
          <w:szCs w:val="24"/>
          <w:highlight w:val="none"/>
        </w:rPr>
      </w:pPr>
      <w:bookmarkStart w:id="52" w:name="_Toc28121"/>
      <w:bookmarkStart w:id="53" w:name="_Toc17412"/>
      <w:r>
        <w:rPr>
          <w:rFonts w:hint="eastAsia" w:ascii="宋体" w:hAnsi="宋体" w:eastAsia="宋体" w:cs="宋体"/>
          <w:b/>
          <w:bCs/>
          <w:color w:val="auto"/>
          <w:sz w:val="24"/>
          <w:szCs w:val="24"/>
          <w:highlight w:val="none"/>
        </w:rPr>
        <w:t>16.投标保证金 (实质性要求)</w:t>
      </w:r>
      <w:bookmarkEnd w:id="52"/>
      <w:bookmarkEnd w:id="53"/>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p>
      <w:pPr>
        <w:spacing w:line="240" w:lineRule="auto"/>
        <w:outlineLvl w:val="9"/>
        <w:rPr>
          <w:rFonts w:ascii="宋体" w:hAnsi="宋体" w:eastAsia="宋体" w:cs="宋体"/>
          <w:b/>
          <w:bCs/>
          <w:color w:val="auto"/>
          <w:sz w:val="24"/>
          <w:szCs w:val="24"/>
          <w:highlight w:val="none"/>
        </w:rPr>
      </w:pPr>
      <w:bookmarkStart w:id="54" w:name="_Toc30177"/>
      <w:bookmarkStart w:id="55" w:name="_Toc32075"/>
      <w:r>
        <w:rPr>
          <w:rFonts w:hint="eastAsia" w:ascii="宋体" w:hAnsi="宋体" w:eastAsia="宋体" w:cs="宋体"/>
          <w:b/>
          <w:bCs/>
          <w:color w:val="auto"/>
          <w:sz w:val="24"/>
          <w:szCs w:val="24"/>
          <w:highlight w:val="none"/>
        </w:rPr>
        <w:t>17.投标有效期 (实质性要求)</w:t>
      </w:r>
      <w:bookmarkEnd w:id="54"/>
      <w:bookmarkEnd w:id="55"/>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b/>
          <w:bCs/>
          <w:color w:val="auto"/>
          <w:sz w:val="24"/>
          <w:szCs w:val="24"/>
          <w:highlight w:val="none"/>
        </w:rPr>
        <w:t>本项目投标有效期为投标截止之日起90天</w:t>
      </w:r>
      <w:r>
        <w:rPr>
          <w:rFonts w:hint="eastAsia" w:ascii="宋体" w:hAnsi="宋体" w:eastAsia="宋体" w:cs="宋体"/>
          <w:color w:val="auto"/>
          <w:sz w:val="24"/>
          <w:szCs w:val="24"/>
          <w:highlight w:val="none"/>
        </w:rPr>
        <w:t>。投标人投标文件中必须载明投标有效期，投标文件中载明的投标有效期可以长于招标文件规定的期限，但不得短于招标文件规定的期限。否则，其投标文件将作为无效投标处理。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pPr>
        <w:spacing w:line="240" w:lineRule="auto"/>
        <w:outlineLvl w:val="9"/>
        <w:rPr>
          <w:rFonts w:ascii="宋体" w:hAnsi="宋体" w:eastAsia="宋体" w:cs="宋体"/>
          <w:b/>
          <w:bCs/>
          <w:color w:val="auto"/>
          <w:sz w:val="24"/>
          <w:szCs w:val="24"/>
          <w:highlight w:val="none"/>
        </w:rPr>
      </w:pPr>
      <w:bookmarkStart w:id="56" w:name="_Toc4045"/>
      <w:bookmarkStart w:id="57" w:name="_Toc2789"/>
      <w:r>
        <w:rPr>
          <w:rFonts w:hint="eastAsia" w:ascii="宋体" w:hAnsi="宋体" w:eastAsia="宋体" w:cs="宋体"/>
          <w:b/>
          <w:bCs/>
          <w:color w:val="auto"/>
          <w:sz w:val="24"/>
          <w:szCs w:val="24"/>
          <w:highlight w:val="none"/>
        </w:rPr>
        <w:t>18.投标文件的印制和签署</w:t>
      </w:r>
      <w:bookmarkEnd w:id="56"/>
      <w:bookmarkEnd w:id="57"/>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投标文件分为“资格性投标文件”和“其他响应性投标文件”两部分。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r>
        <w:rPr>
          <w:rFonts w:hint="eastAsia" w:ascii="宋体" w:hAnsi="宋体" w:eastAsia="宋体" w:cs="宋体"/>
          <w:b/>
          <w:bCs/>
          <w:color w:val="auto"/>
          <w:sz w:val="24"/>
          <w:szCs w:val="24"/>
          <w:highlight w:val="none"/>
        </w:rPr>
        <w:t>资格性投标文件正本1份副本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，并在其封面上清楚地标明资格性投标文件、项目名称、项目编号、投标人名称以 及“正本”或“副本”字样。若正本和副本有不一致的内容，以正本书面投标文件为准。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r>
        <w:rPr>
          <w:rFonts w:hint="eastAsia" w:ascii="宋体" w:hAnsi="宋体" w:eastAsia="宋体" w:cs="宋体"/>
          <w:b/>
          <w:bCs/>
          <w:color w:val="auto"/>
          <w:sz w:val="24"/>
          <w:szCs w:val="24"/>
          <w:highlight w:val="none"/>
        </w:rPr>
        <w:t>其他响应性投标文件正本1份副本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，并在其封面上清楚地标明其他响应性投标文件、项目名称、项目编号、投标人名称以及“正本”或“副本”字样。若正本和副本有不一致的内容，以正本书面投标文件为准。</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投标人编制的其他响应性投标文件正本中应当包含投标函、开标一览表等内容。</w:t>
      </w:r>
    </w:p>
    <w:p>
      <w:pPr>
        <w:pStyle w:val="15"/>
        <w:spacing w:after="0"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
          <w:bCs/>
          <w:color w:val="auto"/>
          <w:sz w:val="24"/>
          <w:szCs w:val="24"/>
          <w:highlight w:val="none"/>
        </w:rPr>
        <w:t>“电子文档”1份</w:t>
      </w:r>
      <w:r>
        <w:rPr>
          <w:rFonts w:hint="eastAsia" w:ascii="宋体" w:hAnsi="宋体" w:eastAsia="宋体" w:cs="宋体"/>
          <w:color w:val="auto"/>
          <w:sz w:val="24"/>
          <w:szCs w:val="24"/>
          <w:highlight w:val="none"/>
        </w:rPr>
        <w:t>（电子文档应采用U盘制作包括资格性投标文件</w:t>
      </w:r>
      <w:r>
        <w:rPr>
          <w:rFonts w:hint="eastAsia" w:ascii="宋体" w:hAnsi="宋体" w:eastAsia="宋体" w:cs="宋体"/>
          <w:color w:val="auto"/>
          <w:sz w:val="24"/>
          <w:szCs w:val="24"/>
          <w:highlight w:val="none"/>
          <w:lang w:eastAsia="zh-CN"/>
        </w:rPr>
        <w:t>和其他</w:t>
      </w:r>
      <w:r>
        <w:rPr>
          <w:rFonts w:hint="eastAsia" w:ascii="宋体" w:hAnsi="宋体" w:eastAsia="宋体" w:cs="宋体"/>
          <w:color w:val="auto"/>
          <w:sz w:val="24"/>
          <w:szCs w:val="24"/>
          <w:highlight w:val="none"/>
        </w:rPr>
        <w:t>响应性投标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，电子文档和递交的纸质文件完全一致）。</w:t>
      </w:r>
    </w:p>
    <w:p>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18.5 单独提供用于开标唱标的“开标一览表”原件1份(实质性要求) ，</w:t>
      </w:r>
      <w:r>
        <w:rPr>
          <w:rFonts w:ascii="宋体" w:hAnsi="宋体" w:eastAsia="宋体" w:cs="宋体"/>
          <w:color w:val="auto"/>
          <w:sz w:val="24"/>
          <w:szCs w:val="24"/>
          <w:highlight w:val="none"/>
        </w:rPr>
        <w:t>并清楚地标明开标一览表、项目名称、项目编号、投标人名称。</w:t>
      </w:r>
    </w:p>
    <w:p>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8</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投标文件的正本和副本均需打印或用不褪色、不变质的墨水书写，并由投标人的法定代表人(负责人)或其授权代表在规定签章处签字或盖章 </w:t>
      </w:r>
      <w:r>
        <w:rPr>
          <w:rFonts w:hint="eastAsia" w:ascii="宋体" w:hAnsi="宋体" w:eastAsia="宋体" w:cs="宋体"/>
          <w:b/>
          <w:bCs/>
          <w:color w:val="auto"/>
          <w:sz w:val="24"/>
          <w:szCs w:val="24"/>
          <w:highlight w:val="none"/>
        </w:rPr>
        <w:t xml:space="preserve">(要求加盖公章的地方加盖单位公章，不得使用专用章(如经济合同章、投标专用章等)或下属单位印章代替) </w:t>
      </w:r>
      <w:r>
        <w:rPr>
          <w:rFonts w:ascii="宋体" w:hAnsi="宋体" w:eastAsia="宋体" w:cs="宋体"/>
          <w:color w:val="auto"/>
          <w:sz w:val="24"/>
          <w:szCs w:val="24"/>
          <w:highlight w:val="none"/>
        </w:rPr>
        <w:t>。投标文件副本可采用正本的复印件。</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18.7 投标文件的打印和书写应清楚工整，任何行间插字、涂改或增删，</w:t>
      </w:r>
      <w:r>
        <w:rPr>
          <w:rFonts w:hint="eastAsia" w:ascii="宋体" w:hAnsi="宋体" w:eastAsia="宋体" w:cs="宋体"/>
          <w:b/>
          <w:bCs/>
          <w:color w:val="auto"/>
          <w:sz w:val="24"/>
          <w:szCs w:val="24"/>
          <w:highlight w:val="none"/>
        </w:rPr>
        <w:t>必须由投标人的法定代表人(负责人)或其授权代表签字或盖个人印鉴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（实质性要求）</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18.8 投标文件正本和副本应当采取胶装方式装订成册，不得散装或者活页装订。</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18.9 投标文件应根据招标文件的要求制作，签署、盖章和内容应完整。</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18.10 投标文件统一用A4幅面纸印制，逐页编码。</w:t>
      </w:r>
    </w:p>
    <w:p>
      <w:pPr>
        <w:spacing w:line="240" w:lineRule="auto"/>
        <w:ind w:firstLine="241" w:firstLineChars="100"/>
        <w:rPr>
          <w:color w:val="auto"/>
          <w:sz w:val="24"/>
          <w:szCs w:val="24"/>
          <w:highlight w:val="none"/>
        </w:rPr>
      </w:pPr>
      <w:r>
        <w:rPr>
          <w:rFonts w:hint="eastAsia" w:ascii="宋体" w:hAnsi="宋体" w:eastAsia="宋体" w:cs="宋体"/>
          <w:b/>
          <w:bCs/>
          <w:color w:val="auto"/>
          <w:sz w:val="24"/>
          <w:szCs w:val="24"/>
          <w:highlight w:val="none"/>
        </w:rPr>
        <w:t>根据《关于促进政府采购公平竞争优化营商环境的通知》(财库〔2019〕38号)不得因装订、纸张、文件排序等非实质性的格式、形式问题限制和影响供应商投标。</w:t>
      </w:r>
    </w:p>
    <w:p>
      <w:pPr>
        <w:spacing w:line="240" w:lineRule="auto"/>
        <w:outlineLvl w:val="9"/>
        <w:rPr>
          <w:rFonts w:ascii="宋体" w:hAnsi="宋体" w:eastAsia="宋体" w:cs="宋体"/>
          <w:b/>
          <w:bCs/>
          <w:color w:val="auto"/>
          <w:sz w:val="24"/>
          <w:szCs w:val="24"/>
          <w:highlight w:val="none"/>
        </w:rPr>
      </w:pPr>
      <w:bookmarkStart w:id="58" w:name="_Toc14198"/>
      <w:bookmarkStart w:id="59" w:name="_Toc31984"/>
      <w:r>
        <w:rPr>
          <w:rFonts w:hint="eastAsia" w:ascii="宋体" w:hAnsi="宋体" w:eastAsia="宋体" w:cs="宋体"/>
          <w:b/>
          <w:bCs/>
          <w:color w:val="auto"/>
          <w:sz w:val="24"/>
          <w:szCs w:val="24"/>
          <w:highlight w:val="none"/>
        </w:rPr>
        <w:t>19.投标文件的密封和标注</w:t>
      </w:r>
      <w:bookmarkEnd w:id="58"/>
      <w:bookmarkEnd w:id="59"/>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投标人应在投标文件正本和所有副本的封面上注明投标人名称、招标编号、项目名称。</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投标文件包括正本、副本、电子文档和</w:t>
      </w:r>
      <w:r>
        <w:rPr>
          <w:rFonts w:hint="eastAsia" w:ascii="宋体" w:hAnsi="宋体" w:eastAsia="宋体" w:cs="宋体"/>
          <w:b/>
          <w:bCs/>
          <w:color w:val="auto"/>
          <w:sz w:val="24"/>
          <w:szCs w:val="24"/>
          <w:highlight w:val="none"/>
        </w:rPr>
        <w:t>用于开标唱标单独提交的“开标一览表”，应分别封装于不同的密封袋内</w:t>
      </w:r>
      <w:r>
        <w:rPr>
          <w:rFonts w:hint="eastAsia" w:ascii="宋体" w:hAnsi="宋体" w:eastAsia="宋体" w:cs="宋体"/>
          <w:color w:val="auto"/>
          <w:sz w:val="24"/>
          <w:szCs w:val="24"/>
          <w:highlight w:val="none"/>
        </w:rPr>
        <w:t>，密封袋上应分别标上“正本”、“副本”、“开标一览表”字样,并注明投标人名称、招标编号、项目名称。</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所有外层密封袋的封口处应粘贴牢固，并加盖密封章(投标人公章) 。</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b/>
          <w:bCs/>
          <w:color w:val="auto"/>
          <w:sz w:val="24"/>
          <w:szCs w:val="24"/>
          <w:highlight w:val="none"/>
        </w:rPr>
        <w:t>未按要求进行密封的投标文件将被拒收或者在时间允许的范围内(投标截止时间前)，要求修改完善后接收。</w:t>
      </w:r>
    </w:p>
    <w:p>
      <w:pPr>
        <w:spacing w:line="240" w:lineRule="auto"/>
        <w:outlineLvl w:val="9"/>
        <w:rPr>
          <w:color w:val="auto"/>
          <w:sz w:val="24"/>
          <w:szCs w:val="24"/>
          <w:highlight w:val="none"/>
        </w:rPr>
      </w:pPr>
      <w:bookmarkStart w:id="60" w:name="_Toc22039"/>
      <w:bookmarkStart w:id="61" w:name="_Toc26758"/>
      <w:r>
        <w:rPr>
          <w:rFonts w:hint="eastAsia" w:ascii="宋体" w:hAnsi="宋体" w:eastAsia="宋体" w:cs="宋体"/>
          <w:b/>
          <w:bCs/>
          <w:color w:val="auto"/>
          <w:sz w:val="24"/>
          <w:szCs w:val="24"/>
          <w:highlight w:val="none"/>
        </w:rPr>
        <w:t>20.投标文件的递交</w:t>
      </w:r>
      <w:bookmarkEnd w:id="60"/>
      <w:bookmarkEnd w:id="61"/>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 递交投标文件时，报名供应商名称和招标文件的招标编号应当与投标供应商名称和招标文件的招标编号一致。但是，投标文件实质内容报名供应商名称和招标文件的招标编号一致，只是封面文字错误的，可以在评标过程中当面予以澄清，以有效的澄清材料作为认定投标文件是否有效的依据。</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 本次招标不接收邮寄的投标文件。</w:t>
      </w:r>
    </w:p>
    <w:p>
      <w:pPr>
        <w:spacing w:line="240" w:lineRule="auto"/>
        <w:outlineLvl w:val="9"/>
        <w:rPr>
          <w:rFonts w:ascii="宋体" w:hAnsi="宋体" w:eastAsia="宋体" w:cs="宋体"/>
          <w:b/>
          <w:bCs/>
          <w:color w:val="auto"/>
          <w:sz w:val="24"/>
          <w:szCs w:val="24"/>
          <w:highlight w:val="none"/>
        </w:rPr>
      </w:pPr>
      <w:bookmarkStart w:id="62" w:name="_Toc24550"/>
      <w:bookmarkStart w:id="63" w:name="_Toc8626"/>
      <w:r>
        <w:rPr>
          <w:rFonts w:hint="eastAsia" w:ascii="宋体" w:hAnsi="宋体" w:eastAsia="宋体" w:cs="宋体"/>
          <w:b/>
          <w:bCs/>
          <w:color w:val="auto"/>
          <w:sz w:val="24"/>
          <w:szCs w:val="24"/>
          <w:highlight w:val="none"/>
        </w:rPr>
        <w:t>21.投标文件的修改和撤回</w:t>
      </w:r>
      <w:bookmarkEnd w:id="62"/>
      <w:bookmarkEnd w:id="63"/>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投标人在递交了投标文件后，可以修改或撤回其投标文件，但必须在规定的投标截止时间前，以书面形式通知招标代理机构。</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投标人的修改书或撤回通知书，应由其法定代表人/单位负责人或授权代表签署并盖单位印章。修改书应按投标须知第19条规定进行密封和标注，并在密封袋上标注“修改”字样。</w:t>
      </w:r>
    </w:p>
    <w:p>
      <w:pPr>
        <w:spacing w:line="240" w:lineRule="auto"/>
        <w:ind w:firstLine="240" w:firstLineChars="100"/>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21.3 在投标截止时间之后，投标人不得对其递交的投标文件</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任何修改，撤销投标的，将按照有关规定进行相应处理。</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64" w:name="_Toc31519"/>
      <w:bookmarkStart w:id="65" w:name="_Toc22870"/>
      <w:r>
        <w:rPr>
          <w:rFonts w:hint="eastAsia" w:ascii="宋体" w:hAnsi="宋体" w:eastAsia="宋体" w:cs="宋体"/>
          <w:b/>
          <w:bCs/>
          <w:color w:val="auto"/>
          <w:sz w:val="31"/>
          <w:szCs w:val="31"/>
          <w:highlight w:val="none"/>
        </w:rPr>
        <w:t>五、开标和中标</w:t>
      </w:r>
      <w:bookmarkEnd w:id="64"/>
      <w:bookmarkEnd w:id="65"/>
    </w:p>
    <w:p>
      <w:pPr>
        <w:spacing w:line="240" w:lineRule="auto"/>
        <w:outlineLvl w:val="9"/>
        <w:rPr>
          <w:rFonts w:ascii="宋体" w:hAnsi="宋体" w:eastAsia="宋体" w:cs="宋体"/>
          <w:b/>
          <w:bCs/>
          <w:color w:val="auto"/>
          <w:sz w:val="24"/>
          <w:szCs w:val="24"/>
          <w:highlight w:val="none"/>
        </w:rPr>
      </w:pPr>
      <w:bookmarkStart w:id="66" w:name="_Toc29236"/>
      <w:bookmarkStart w:id="67" w:name="_Toc4256"/>
      <w:r>
        <w:rPr>
          <w:rFonts w:hint="eastAsia" w:ascii="宋体" w:hAnsi="宋体" w:eastAsia="宋体" w:cs="宋体"/>
          <w:b/>
          <w:bCs/>
          <w:color w:val="auto"/>
          <w:sz w:val="24"/>
          <w:szCs w:val="24"/>
          <w:highlight w:val="none"/>
        </w:rPr>
        <w:t>22.开标</w:t>
      </w:r>
      <w:bookmarkEnd w:id="66"/>
      <w:bookmarkEnd w:id="67"/>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开标在招标文件规定的时间和地点公开进行，招标人、投标人须派代表参加并签到以证明其出席（没有派代表参加开标活动视为认同开标结果）。开标由招标代理机构主持，邀请招标人、投标人代表参加。评标委员会成员不参加开标活动。</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开标时，可根据具体情况邀请有关监督管理部门对开标活动进行现场监督。</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投标文件中相关内容与“开标一览表”不一致的，以“开标一览表”为准。对不同文字文本投标文件的解释发生异议的，以中文文本为准。</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22.6 所有投标唱标完毕，如投标人代表对宣读的“开标一览表”上的内容有异议的，应在获得开标会主持人同意后当场提出。如确实属于唱标人员宣读错了的，经现场监督人员核实后，当场予以更正。</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22.7 投标人不足3家的，不得开标。</w:t>
      </w:r>
    </w:p>
    <w:p>
      <w:pPr>
        <w:spacing w:line="240" w:lineRule="auto"/>
        <w:outlineLvl w:val="9"/>
        <w:rPr>
          <w:rFonts w:ascii="宋体" w:hAnsi="宋体" w:eastAsia="宋体" w:cs="宋体"/>
          <w:b/>
          <w:bCs/>
          <w:color w:val="auto"/>
          <w:sz w:val="24"/>
          <w:szCs w:val="24"/>
          <w:highlight w:val="none"/>
        </w:rPr>
      </w:pPr>
      <w:bookmarkStart w:id="68" w:name="_Toc1890"/>
      <w:bookmarkStart w:id="69" w:name="_Toc29751"/>
      <w:r>
        <w:rPr>
          <w:rFonts w:hint="eastAsia" w:ascii="宋体" w:hAnsi="宋体" w:eastAsia="宋体" w:cs="宋体"/>
          <w:b/>
          <w:bCs/>
          <w:color w:val="auto"/>
          <w:sz w:val="24"/>
          <w:szCs w:val="24"/>
          <w:highlight w:val="none"/>
        </w:rPr>
        <w:t>23.开标程序</w:t>
      </w:r>
      <w:bookmarkEnd w:id="68"/>
      <w:bookmarkEnd w:id="69"/>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开标会主持人按照招标文件规定的开标时间宣布开标，按照规定要求主持开标会。开标将按以下程序进行：</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宣布开标会开始。当众宣布参加开标会主持人、唱标人、会议记录人以及根据情况邀请的现场监督人等工作人员，根据“投标人签到表”宣布参加投标的投标人名单。</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根据投标人或者其推选的代表对投标文件密封的检查结果，当众宣布</w:t>
      </w:r>
      <w:r>
        <w:rPr>
          <w:rFonts w:ascii="宋体" w:hAnsi="宋体" w:eastAsia="宋体" w:cs="宋体"/>
          <w:color w:val="auto"/>
          <w:sz w:val="24"/>
          <w:szCs w:val="24"/>
          <w:highlight w:val="none"/>
        </w:rPr>
        <w:t>投标文件的密封情况。</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开标唱标。主持人宣布开标后，由现场工作人员按任意顺序对投标人的“开标一览表”当众进行拆封，由唱标人员宣读投标人名称、投标价格(价格折扣) 。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 会议记录人在开标记录中予以记录，或者另行提供书面异议资料，不签字又不提出异议的，视同认可唱标内容和结果，且不得干扰、阻挠开(唱)标、评标工作。</w:t>
      </w:r>
    </w:p>
    <w:p>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招标投标公共服务平台（http://www.cebpubservice.com/）上查询。</w:t>
      </w:r>
    </w:p>
    <w:p>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投标人未参加开标的，视同认可开标结果。</w:t>
      </w:r>
    </w:p>
    <w:p>
      <w:pPr>
        <w:spacing w:line="240" w:lineRule="auto"/>
        <w:outlineLvl w:val="9"/>
        <w:rPr>
          <w:rFonts w:ascii="宋体" w:hAnsi="宋体" w:eastAsia="宋体" w:cs="宋体"/>
          <w:b/>
          <w:bCs/>
          <w:color w:val="auto"/>
          <w:sz w:val="24"/>
          <w:szCs w:val="24"/>
          <w:highlight w:val="none"/>
        </w:rPr>
      </w:pPr>
      <w:bookmarkStart w:id="70" w:name="_Toc9321"/>
      <w:bookmarkStart w:id="71" w:name="_Toc30446"/>
      <w:r>
        <w:rPr>
          <w:rFonts w:hint="eastAsia" w:ascii="宋体" w:hAnsi="宋体" w:eastAsia="宋体" w:cs="宋体"/>
          <w:b/>
          <w:bCs/>
          <w:color w:val="auto"/>
          <w:sz w:val="24"/>
          <w:szCs w:val="24"/>
          <w:highlight w:val="none"/>
        </w:rPr>
        <w:t>24.开评标过程存档</w:t>
      </w:r>
      <w:bookmarkEnd w:id="70"/>
      <w:bookmarkEnd w:id="71"/>
    </w:p>
    <w:p>
      <w:pPr>
        <w:spacing w:before="75" w:line="240"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开标和评标过程进行全过程电子监控，并将电子监控资料存储介质留存归档。</w:t>
      </w:r>
    </w:p>
    <w:p>
      <w:pPr>
        <w:spacing w:line="240" w:lineRule="auto"/>
        <w:outlineLvl w:val="9"/>
        <w:rPr>
          <w:rFonts w:ascii="宋体" w:hAnsi="宋体" w:eastAsia="宋体" w:cs="宋体"/>
          <w:b/>
          <w:bCs/>
          <w:color w:val="auto"/>
          <w:sz w:val="24"/>
          <w:szCs w:val="24"/>
          <w:highlight w:val="none"/>
        </w:rPr>
      </w:pPr>
      <w:bookmarkStart w:id="72" w:name="_Toc28605"/>
      <w:bookmarkStart w:id="73" w:name="_Toc20820"/>
      <w:r>
        <w:rPr>
          <w:rFonts w:hint="eastAsia" w:ascii="宋体" w:hAnsi="宋体" w:eastAsia="宋体" w:cs="宋体"/>
          <w:b/>
          <w:bCs/>
          <w:color w:val="auto"/>
          <w:sz w:val="24"/>
          <w:szCs w:val="24"/>
          <w:highlight w:val="none"/>
        </w:rPr>
        <w:t>25.资格审查</w:t>
      </w:r>
      <w:bookmarkEnd w:id="72"/>
      <w:bookmarkEnd w:id="73"/>
    </w:p>
    <w:p>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招标人或者招标代理机构依据法律法规和本招标文件的规定，对投标文件是否按照规定要求提供资格性证明材料、是否属于禁止参加投标的供应商等进行审查，以确定投标供应商是否具备投标资格。</w:t>
      </w:r>
    </w:p>
    <w:p>
      <w:pPr>
        <w:spacing w:line="240" w:lineRule="auto"/>
        <w:outlineLvl w:val="9"/>
        <w:rPr>
          <w:rFonts w:ascii="宋体" w:hAnsi="宋体" w:eastAsia="宋体" w:cs="宋体"/>
          <w:b/>
          <w:bCs/>
          <w:color w:val="auto"/>
          <w:sz w:val="24"/>
          <w:szCs w:val="24"/>
          <w:highlight w:val="none"/>
        </w:rPr>
      </w:pPr>
      <w:bookmarkStart w:id="74" w:name="_Toc9764"/>
      <w:bookmarkStart w:id="75" w:name="_Toc12670"/>
      <w:r>
        <w:rPr>
          <w:rFonts w:hint="eastAsia" w:ascii="宋体" w:hAnsi="宋体" w:eastAsia="宋体" w:cs="宋体"/>
          <w:b/>
          <w:bCs/>
          <w:color w:val="auto"/>
          <w:sz w:val="24"/>
          <w:szCs w:val="24"/>
          <w:highlight w:val="none"/>
        </w:rPr>
        <w:t>26.评标情况公告</w:t>
      </w:r>
      <w:bookmarkEnd w:id="74"/>
      <w:bookmarkEnd w:id="75"/>
    </w:p>
    <w:p>
      <w:pPr>
        <w:spacing w:line="240" w:lineRule="auto"/>
        <w:ind w:firstLine="480" w:firstLineChars="200"/>
        <w:outlineLvl w:val="9"/>
        <w:rPr>
          <w:rFonts w:ascii="宋体" w:hAnsi="宋体" w:eastAsia="宋体" w:cs="宋体"/>
          <w:color w:val="auto"/>
          <w:sz w:val="24"/>
          <w:szCs w:val="24"/>
          <w:highlight w:val="none"/>
        </w:rPr>
      </w:pPr>
      <w:bookmarkStart w:id="76" w:name="_Toc31460"/>
      <w:bookmarkStart w:id="77" w:name="_Toc15851"/>
      <w:r>
        <w:rPr>
          <w:rFonts w:hint="eastAsia" w:ascii="宋体" w:hAnsi="宋体" w:eastAsia="宋体" w:cs="宋体"/>
          <w:color w:val="auto"/>
          <w:sz w:val="24"/>
          <w:szCs w:val="24"/>
          <w:highlight w:val="none"/>
        </w:rPr>
        <w:t>评标结果将在中国招标投标公共服务平台（http://www.cebpubservice.com/）上采购结果公告栏中予以公告。</w:t>
      </w:r>
      <w:bookmarkEnd w:id="76"/>
      <w:bookmarkEnd w:id="77"/>
    </w:p>
    <w:p>
      <w:pPr>
        <w:spacing w:line="240" w:lineRule="auto"/>
        <w:outlineLvl w:val="9"/>
        <w:rPr>
          <w:rFonts w:ascii="宋体" w:hAnsi="宋体" w:eastAsia="宋体" w:cs="宋体"/>
          <w:b/>
          <w:bCs/>
          <w:color w:val="auto"/>
          <w:sz w:val="24"/>
          <w:szCs w:val="24"/>
          <w:highlight w:val="none"/>
        </w:rPr>
      </w:pPr>
      <w:bookmarkStart w:id="78" w:name="_Toc11479"/>
      <w:bookmarkStart w:id="79" w:name="_Toc17782"/>
      <w:r>
        <w:rPr>
          <w:rFonts w:hint="eastAsia" w:ascii="宋体" w:hAnsi="宋体" w:eastAsia="宋体" w:cs="宋体"/>
          <w:b/>
          <w:bCs/>
          <w:color w:val="auto"/>
          <w:sz w:val="24"/>
          <w:szCs w:val="24"/>
          <w:highlight w:val="none"/>
        </w:rPr>
        <w:t>27.中标通知书</w:t>
      </w:r>
      <w:bookmarkEnd w:id="78"/>
      <w:bookmarkEnd w:id="79"/>
    </w:p>
    <w:p>
      <w:pPr>
        <w:spacing w:line="240" w:lineRule="auto"/>
        <w:ind w:firstLine="480" w:firstLineChars="200"/>
        <w:outlineLvl w:val="9"/>
        <w:rPr>
          <w:rFonts w:ascii="宋体" w:hAnsi="宋体" w:eastAsia="宋体" w:cs="宋体"/>
          <w:color w:val="auto"/>
          <w:sz w:val="24"/>
          <w:szCs w:val="24"/>
          <w:highlight w:val="none"/>
        </w:rPr>
      </w:pPr>
      <w:bookmarkStart w:id="80" w:name="_Toc4779"/>
      <w:bookmarkStart w:id="81" w:name="_Toc14648"/>
      <w:r>
        <w:rPr>
          <w:rFonts w:hint="eastAsia" w:ascii="宋体" w:hAnsi="宋体" w:eastAsia="宋体" w:cs="宋体"/>
          <w:color w:val="auto"/>
          <w:sz w:val="24"/>
          <w:szCs w:val="24"/>
          <w:highlight w:val="none"/>
        </w:rPr>
        <w:t>27.1 中标通知书为签订采购合同的依据之一，是合同的有效组成部分。</w:t>
      </w:r>
      <w:bookmarkEnd w:id="80"/>
      <w:bookmarkEnd w:id="81"/>
    </w:p>
    <w:p>
      <w:pPr>
        <w:spacing w:line="240" w:lineRule="auto"/>
        <w:ind w:left="22" w:right="1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中标通知书对</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和中标人均具有法律效力。中标通知书发出后，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改变中标结果，或者中标人无正当理由放弃中标的，应当承担相应的法律责任。</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r>
        <w:rPr>
          <w:rFonts w:ascii="宋体" w:hAnsi="宋体" w:eastAsia="宋体" w:cs="宋体"/>
          <w:color w:val="auto"/>
          <w:sz w:val="24"/>
          <w:szCs w:val="24"/>
          <w:highlight w:val="none"/>
        </w:rPr>
        <w:t xml:space="preserve">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spacing w:before="3" w:line="240" w:lineRule="auto"/>
        <w:ind w:left="23" w:right="13"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中标公告发出后，中标人自行领取中标通知书的，可凭有效身份证明证件到</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领取中标通知书</w:t>
      </w:r>
      <w:r>
        <w:rPr>
          <w:rFonts w:hint="eastAsia" w:ascii="宋体" w:hAnsi="宋体" w:eastAsia="宋体" w:cs="宋体"/>
          <w:color w:val="auto"/>
          <w:sz w:val="24"/>
          <w:szCs w:val="24"/>
          <w:highlight w:val="none"/>
        </w:rPr>
        <w:t>或联系招标代理机构工作人员邮寄中标通知书</w:t>
      </w:r>
      <w:r>
        <w:rPr>
          <w:rFonts w:ascii="宋体" w:hAnsi="宋体" w:eastAsia="宋体" w:cs="宋体"/>
          <w:color w:val="auto"/>
          <w:sz w:val="24"/>
          <w:szCs w:val="24"/>
          <w:highlight w:val="none"/>
        </w:rPr>
        <w:t>。(详见投标人须知附表) 。</w:t>
      </w:r>
    </w:p>
    <w:p>
      <w:pPr>
        <w:spacing w:line="240" w:lineRule="auto"/>
        <w:outlineLvl w:val="9"/>
        <w:rPr>
          <w:rFonts w:ascii="宋体" w:hAnsi="宋体" w:eastAsia="宋体" w:cs="宋体"/>
          <w:b/>
          <w:bCs/>
          <w:color w:val="auto"/>
          <w:sz w:val="24"/>
          <w:szCs w:val="24"/>
          <w:highlight w:val="none"/>
        </w:rPr>
      </w:pPr>
      <w:bookmarkStart w:id="82" w:name="_Toc6436"/>
      <w:bookmarkStart w:id="83" w:name="_Toc25160"/>
      <w:r>
        <w:rPr>
          <w:rFonts w:hint="eastAsia" w:ascii="宋体" w:hAnsi="宋体" w:eastAsia="宋体" w:cs="宋体"/>
          <w:b/>
          <w:bCs/>
          <w:color w:val="auto"/>
          <w:sz w:val="24"/>
          <w:szCs w:val="24"/>
          <w:highlight w:val="none"/>
        </w:rPr>
        <w:t>28.行贿犯罪档案查询</w:t>
      </w:r>
      <w:bookmarkEnd w:id="82"/>
      <w:bookmarkEnd w:id="83"/>
    </w:p>
    <w:p>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在行贿犯罪信息查询期限内，</w:t>
      </w:r>
      <w:r>
        <w:rPr>
          <w:rFonts w:ascii="宋体" w:hAnsi="宋体" w:eastAsia="宋体" w:cs="宋体"/>
          <w:color w:val="auto"/>
          <w:sz w:val="24"/>
          <w:szCs w:val="24"/>
          <w:highlight w:val="none"/>
        </w:rPr>
        <w:t>供应商单位及其现任法定代表人、主要负责人存在行贿犯罪记录的，中标后未签订采购合同的，将认定中标无效；中标后签订采购合同未履行的，将认定中标无效，同时撤销采购合同；中标后签订采购合同且已经履行的，将认定采购活动违法，由相关当事人承担赔偿责任。</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84" w:name="_Toc12817"/>
      <w:bookmarkStart w:id="85" w:name="_Toc4574"/>
      <w:r>
        <w:rPr>
          <w:rFonts w:hint="eastAsia" w:ascii="宋体" w:hAnsi="宋体" w:eastAsia="宋体" w:cs="宋体"/>
          <w:b/>
          <w:bCs/>
          <w:color w:val="auto"/>
          <w:sz w:val="31"/>
          <w:szCs w:val="31"/>
          <w:highlight w:val="none"/>
        </w:rPr>
        <w:t>六、签订及履行合同和验收</w:t>
      </w:r>
      <w:bookmarkEnd w:id="84"/>
      <w:bookmarkEnd w:id="85"/>
    </w:p>
    <w:p>
      <w:pPr>
        <w:spacing w:line="240" w:lineRule="auto"/>
        <w:outlineLvl w:val="9"/>
        <w:rPr>
          <w:rFonts w:ascii="宋体" w:hAnsi="宋体" w:eastAsia="宋体" w:cs="宋体"/>
          <w:b/>
          <w:bCs/>
          <w:color w:val="auto"/>
          <w:sz w:val="24"/>
          <w:szCs w:val="24"/>
          <w:highlight w:val="none"/>
        </w:rPr>
      </w:pPr>
      <w:bookmarkStart w:id="86" w:name="_Toc20317"/>
      <w:bookmarkStart w:id="87" w:name="_Toc3408"/>
      <w:r>
        <w:rPr>
          <w:rFonts w:hint="eastAsia" w:ascii="宋体" w:hAnsi="宋体" w:eastAsia="宋体" w:cs="宋体"/>
          <w:b/>
          <w:bCs/>
          <w:color w:val="auto"/>
          <w:sz w:val="24"/>
          <w:szCs w:val="24"/>
          <w:highlight w:val="none"/>
        </w:rPr>
        <w:t>29.签订合同</w:t>
      </w:r>
      <w:bookmarkEnd w:id="86"/>
      <w:bookmarkEnd w:id="87"/>
    </w:p>
    <w:p>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.1 中标人应在《中标通知书》发出之日起三十日内与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签订采购合同。由于中标人的原因逾期未与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签订采购合同的，将视为放弃中标，取消其中标资格并将按相关规定进行处理。</w:t>
      </w:r>
    </w:p>
    <w:p>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不得向中标人提出任何不合理的要求，作为签订合同的条件，不得与中标人私下订立背离合同实质性内容的任何协议，所签订的合同主要条款 应当与招标文件和中标人投标文件确定的内容一致。</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.3 中标人因不可抗力原因不能履行采购合同或放弃中标的，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可以与排在中标人之后第一位的中标候选人签订采购合同，以此类推。</w:t>
      </w:r>
    </w:p>
    <w:p>
      <w:pPr>
        <w:spacing w:line="240" w:lineRule="auto"/>
        <w:outlineLvl w:val="9"/>
        <w:rPr>
          <w:rFonts w:ascii="宋体" w:hAnsi="宋体" w:eastAsia="宋体" w:cs="宋体"/>
          <w:b/>
          <w:bCs/>
          <w:color w:val="auto"/>
          <w:sz w:val="24"/>
          <w:szCs w:val="24"/>
          <w:highlight w:val="none"/>
        </w:rPr>
      </w:pPr>
      <w:bookmarkStart w:id="88" w:name="_Toc24277"/>
      <w:bookmarkStart w:id="89" w:name="_Toc30385"/>
      <w:r>
        <w:rPr>
          <w:rFonts w:hint="eastAsia" w:ascii="宋体" w:hAnsi="宋体" w:eastAsia="宋体" w:cs="宋体"/>
          <w:b/>
          <w:bCs/>
          <w:color w:val="auto"/>
          <w:sz w:val="24"/>
          <w:szCs w:val="24"/>
          <w:highlight w:val="none"/>
        </w:rPr>
        <w:t>30. 合同分包 (实质性要求)</w:t>
      </w:r>
      <w:bookmarkEnd w:id="88"/>
      <w:bookmarkEnd w:id="89"/>
    </w:p>
    <w:p>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ascii="宋体" w:hAnsi="宋体" w:eastAsia="宋体" w:cs="宋体"/>
          <w:b/>
          <w:bCs/>
          <w:color w:val="auto"/>
          <w:sz w:val="24"/>
          <w:szCs w:val="24"/>
          <w:highlight w:val="none"/>
        </w:rPr>
        <w:t>接受合同分包。</w:t>
      </w:r>
    </w:p>
    <w:p>
      <w:pPr>
        <w:pStyle w:val="2"/>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30.1</w:t>
      </w:r>
      <w:r>
        <w:rPr>
          <w:rFonts w:hint="eastAsia" w:ascii="宋体" w:hAnsi="宋体" w:eastAsia="宋体" w:cs="宋体"/>
          <w:color w:val="auto"/>
          <w:sz w:val="24"/>
          <w:szCs w:val="24"/>
          <w:highlight w:val="none"/>
        </w:rPr>
        <w:t>经招标人同意，中标人可以依法采取分包方式履行合同，但必须在投标文件中事前载明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i w:val="0"/>
          <w:iCs w:val="0"/>
          <w:caps w:val="0"/>
          <w:color w:val="auto"/>
          <w:spacing w:val="0"/>
          <w:sz w:val="24"/>
          <w:szCs w:val="24"/>
          <w:highlight w:val="none"/>
          <w:shd w:val="clear" w:fill="FFFFFF"/>
        </w:rPr>
        <w:t>不得再次分包</w:t>
      </w:r>
      <w:r>
        <w:rPr>
          <w:rFonts w:hint="eastAsia" w:ascii="宋体" w:hAnsi="宋体" w:eastAsia="宋体" w:cs="宋体"/>
          <w:color w:val="auto"/>
          <w:sz w:val="24"/>
          <w:szCs w:val="24"/>
          <w:highlight w:val="none"/>
        </w:rPr>
        <w:t>。这种要求应当在合同签订之前征得</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同意，并且分包供应商履行的分包项目的品牌、规格型号及技术要求等，必须与中标的一致。</w:t>
      </w:r>
    </w:p>
    <w:p>
      <w:pPr>
        <w:pStyle w:val="2"/>
        <w:spacing w:after="0"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分包履行合同的部分应当为采购项目的非主体、非关键性工作，不属于中标人的主要合同义务。</w:t>
      </w:r>
    </w:p>
    <w:p>
      <w:pPr>
        <w:pStyle w:val="2"/>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30.2 </w:t>
      </w:r>
      <w:r>
        <w:rPr>
          <w:rFonts w:hint="eastAsia" w:ascii="宋体" w:hAnsi="宋体" w:eastAsia="宋体" w:cs="宋体"/>
          <w:color w:val="auto"/>
          <w:sz w:val="24"/>
          <w:szCs w:val="24"/>
          <w:highlight w:val="none"/>
        </w:rPr>
        <w:t>采购合同实行分包履行的，中标人就采购项目和分包项目向招标人负责，分包供应商就分包项目承担责任。</w:t>
      </w:r>
    </w:p>
    <w:p>
      <w:pPr>
        <w:pStyle w:val="2"/>
        <w:spacing w:after="0" w:line="24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中小企业依据《政府采购促进中小企业发展管理办法》（财库</w:t>
      </w:r>
      <w:r>
        <w:rPr>
          <w:rFonts w:ascii="宋体" w:hAnsi="宋体" w:eastAsia="宋体" w:cs="宋体"/>
          <w:color w:val="auto"/>
          <w:sz w:val="24"/>
          <w:szCs w:val="24"/>
          <w:highlight w:val="none"/>
        </w:rPr>
        <w:t>[2020]46</w:t>
      </w:r>
      <w:r>
        <w:rPr>
          <w:rFonts w:hint="eastAsia" w:ascii="宋体" w:hAnsi="宋体" w:eastAsia="宋体" w:cs="宋体"/>
          <w:color w:val="auto"/>
          <w:sz w:val="24"/>
          <w:szCs w:val="24"/>
          <w:highlight w:val="none"/>
        </w:rPr>
        <w:t>号）规定的政策获取采购合同后，小微企业不得将合同分包给大中型企业，中型企业不得将合同分包给大型企业。</w:t>
      </w:r>
    </w:p>
    <w:p>
      <w:pPr>
        <w:spacing w:line="240" w:lineRule="auto"/>
        <w:outlineLvl w:val="9"/>
        <w:rPr>
          <w:rFonts w:ascii="宋体" w:hAnsi="宋体" w:eastAsia="宋体" w:cs="宋体"/>
          <w:b/>
          <w:bCs/>
          <w:color w:val="auto"/>
          <w:sz w:val="24"/>
          <w:szCs w:val="24"/>
          <w:highlight w:val="none"/>
        </w:rPr>
      </w:pPr>
      <w:bookmarkStart w:id="90" w:name="_Toc137"/>
      <w:bookmarkStart w:id="91" w:name="_Toc21369"/>
      <w:r>
        <w:rPr>
          <w:rFonts w:hint="eastAsia" w:ascii="宋体" w:hAnsi="宋体" w:eastAsia="宋体" w:cs="宋体"/>
          <w:b/>
          <w:bCs/>
          <w:color w:val="auto"/>
          <w:sz w:val="24"/>
          <w:szCs w:val="24"/>
          <w:highlight w:val="none"/>
        </w:rPr>
        <w:t>31.合同转包 (实质性要求)</w:t>
      </w:r>
      <w:bookmarkEnd w:id="90"/>
      <w:bookmarkEnd w:id="91"/>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本采购项目严禁中标人将任何合同义务转包。本项目所称转包，是指中标人将合同义务转让给第三人，并退出现有采购合同当事人双方的权利义务关系，受让人(即第三人)成为采购合同的另一方当事人的行为。</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中标人转包的，视同拒绝履行采购合同义务，将依法追究法律责任。</w:t>
      </w:r>
    </w:p>
    <w:p>
      <w:pPr>
        <w:spacing w:line="240" w:lineRule="auto"/>
        <w:outlineLvl w:val="9"/>
        <w:rPr>
          <w:rFonts w:ascii="宋体" w:hAnsi="宋体" w:eastAsia="宋体" w:cs="宋体"/>
          <w:b/>
          <w:bCs/>
          <w:color w:val="auto"/>
          <w:sz w:val="24"/>
          <w:szCs w:val="24"/>
          <w:highlight w:val="none"/>
        </w:rPr>
      </w:pPr>
      <w:bookmarkStart w:id="92" w:name="_Toc14740"/>
      <w:bookmarkStart w:id="93" w:name="_Toc4999"/>
      <w:r>
        <w:rPr>
          <w:rFonts w:hint="eastAsia" w:ascii="宋体" w:hAnsi="宋体" w:eastAsia="宋体" w:cs="宋体"/>
          <w:b/>
          <w:bCs/>
          <w:color w:val="auto"/>
          <w:sz w:val="24"/>
          <w:szCs w:val="24"/>
          <w:highlight w:val="none"/>
        </w:rPr>
        <w:t>32.补充合同</w:t>
      </w:r>
      <w:bookmarkEnd w:id="92"/>
      <w:bookmarkEnd w:id="93"/>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240" w:lineRule="auto"/>
        <w:outlineLvl w:val="9"/>
        <w:rPr>
          <w:rFonts w:ascii="宋体" w:hAnsi="宋体" w:eastAsia="宋体" w:cs="宋体"/>
          <w:b/>
          <w:bCs/>
          <w:color w:val="auto"/>
          <w:sz w:val="24"/>
          <w:szCs w:val="24"/>
          <w:highlight w:val="none"/>
        </w:rPr>
      </w:pPr>
      <w:bookmarkStart w:id="94" w:name="_Toc9248"/>
      <w:bookmarkStart w:id="95" w:name="_Toc20785"/>
      <w:r>
        <w:rPr>
          <w:rFonts w:hint="eastAsia" w:ascii="宋体" w:hAnsi="宋体" w:eastAsia="宋体" w:cs="宋体"/>
          <w:b/>
          <w:bCs/>
          <w:color w:val="auto"/>
          <w:sz w:val="24"/>
          <w:szCs w:val="24"/>
          <w:highlight w:val="none"/>
        </w:rPr>
        <w:t>33.履约保证金 (实质性要求)</w:t>
      </w:r>
      <w:bookmarkEnd w:id="94"/>
      <w:bookmarkEnd w:id="95"/>
    </w:p>
    <w:p>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本项目收取履约保证金。</w:t>
      </w:r>
      <w:r>
        <w:rPr>
          <w:rFonts w:hint="eastAsia" w:ascii="宋体" w:hAnsi="宋体" w:eastAsia="宋体" w:cs="宋体"/>
          <w:b/>
          <w:bCs/>
          <w:color w:val="auto"/>
          <w:sz w:val="24"/>
          <w:szCs w:val="24"/>
          <w:highlight w:val="none"/>
        </w:rPr>
        <w:t xml:space="preserve">按照本文件第二章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 一、</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须知附表 的规定执行。</w:t>
      </w:r>
    </w:p>
    <w:p>
      <w:pPr>
        <w:spacing w:line="240" w:lineRule="auto"/>
        <w:outlineLvl w:val="9"/>
        <w:rPr>
          <w:rFonts w:ascii="宋体" w:hAnsi="宋体" w:eastAsia="宋体" w:cs="宋体"/>
          <w:b/>
          <w:bCs/>
          <w:color w:val="auto"/>
          <w:sz w:val="24"/>
          <w:szCs w:val="24"/>
          <w:highlight w:val="none"/>
        </w:rPr>
      </w:pPr>
      <w:bookmarkStart w:id="96" w:name="_Toc12321"/>
      <w:bookmarkStart w:id="97" w:name="_Toc30156"/>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.履行合同</w:t>
      </w:r>
      <w:bookmarkEnd w:id="96"/>
      <w:bookmarkEnd w:id="97"/>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中标人与招标人签订合同后，合同双方应严格执行合同条款，履行合同规定的义务，保证合同的顺利完成。</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在合同履行过程中，如发生合同纠纷，合同双方应按照《中华人民共和国民法典》的有关规定进行处理。</w:t>
      </w:r>
    </w:p>
    <w:p>
      <w:pPr>
        <w:spacing w:line="240" w:lineRule="auto"/>
        <w:outlineLvl w:val="9"/>
        <w:rPr>
          <w:rFonts w:ascii="宋体" w:hAnsi="宋体" w:eastAsia="宋体" w:cs="宋体"/>
          <w:b/>
          <w:bCs/>
          <w:color w:val="auto"/>
          <w:sz w:val="24"/>
          <w:szCs w:val="24"/>
          <w:highlight w:val="none"/>
        </w:rPr>
      </w:pPr>
      <w:bookmarkStart w:id="98" w:name="_Toc4612"/>
      <w:bookmarkStart w:id="99" w:name="_Toc29799"/>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.资金支付</w:t>
      </w:r>
      <w:bookmarkEnd w:id="98"/>
      <w:bookmarkEnd w:id="99"/>
    </w:p>
    <w:p>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人将按照采购合同规定，及时向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支付采购资金。本项目采购资金采取授权支付，支付程序详见本文件“第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合同主要条款</w:t>
      </w:r>
      <w:r>
        <w:rPr>
          <w:rFonts w:hint="eastAsia" w:ascii="宋体" w:hAnsi="宋体" w:eastAsia="宋体" w:cs="宋体"/>
          <w:color w:val="auto"/>
          <w:sz w:val="24"/>
          <w:szCs w:val="24"/>
          <w:highlight w:val="none"/>
        </w:rPr>
        <w:t>”。</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100" w:name="_Toc18336"/>
      <w:bookmarkStart w:id="101" w:name="_Toc23630"/>
      <w:r>
        <w:rPr>
          <w:rFonts w:hint="eastAsia" w:ascii="宋体" w:hAnsi="宋体" w:eastAsia="宋体" w:cs="宋体"/>
          <w:b/>
          <w:bCs/>
          <w:color w:val="auto"/>
          <w:sz w:val="31"/>
          <w:szCs w:val="31"/>
          <w:highlight w:val="none"/>
        </w:rPr>
        <w:t>七、投标纪律要求</w:t>
      </w:r>
      <w:bookmarkEnd w:id="100"/>
      <w:bookmarkEnd w:id="101"/>
    </w:p>
    <w:p>
      <w:pPr>
        <w:spacing w:line="240" w:lineRule="auto"/>
        <w:outlineLvl w:val="9"/>
        <w:rPr>
          <w:rFonts w:ascii="宋体" w:hAnsi="宋体" w:eastAsia="宋体" w:cs="宋体"/>
          <w:b/>
          <w:bCs/>
          <w:color w:val="auto"/>
          <w:sz w:val="24"/>
          <w:szCs w:val="24"/>
          <w:highlight w:val="none"/>
        </w:rPr>
      </w:pPr>
      <w:bookmarkStart w:id="102" w:name="_Toc11058"/>
      <w:bookmarkStart w:id="103" w:name="_Toc4076"/>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.投标人不得具有的情形</w:t>
      </w:r>
      <w:bookmarkEnd w:id="102"/>
      <w:bookmarkEnd w:id="103"/>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投标人参加本项目投标不得有下列情形：</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提供虚假材料谋取中标；</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采取不正当手段诋毁、排挤其他投标人；</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与招标采购单位、其他投标人恶意串通；</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向招标采购单位、评标委员会成员行贿或者提供其他不正当利益；</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在招标过程中与招标采购单位进行协商谈判；</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中标或者成交后无正当理由拒不与招标人签订采购合同；</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未按照采购文件确定的事项签订采购合同；</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将采购合同转包或者违规分包；</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提供假冒伪劣产品；</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擅自变更、中止或者终止采购合同；</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拒绝有关部门的监督检查或者向监督检查部门提供虚假情况；</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法律法规规定的其他情形。</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投标人有上述情形的，按照规定追究法律责任，具备(1)-(10)条情形之一的，同时将取消中标资格或者认定中标、投标无效。</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投标人有下列情形之一的，视为投标人串通投标，其投标无效：</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不同投标人的投标文件由同一单位或者个人编制；</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不同投标人委托同一单位或者个人办理投标事宜；</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不同投标人的投标文件载明的项目管理成员或者联系人员为同一人；</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不同投标人的投标文件异常一致或者投标报价呈规律性差异；</w:t>
      </w:r>
    </w:p>
    <w:p>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(5) 不同投标人的投标文件相互混装；</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104" w:name="_Toc2277"/>
      <w:bookmarkStart w:id="105" w:name="_Toc11580"/>
      <w:r>
        <w:rPr>
          <w:rFonts w:hint="eastAsia" w:ascii="宋体" w:hAnsi="宋体" w:eastAsia="宋体" w:cs="宋体"/>
          <w:b/>
          <w:bCs/>
          <w:color w:val="auto"/>
          <w:sz w:val="31"/>
          <w:szCs w:val="31"/>
          <w:highlight w:val="none"/>
        </w:rPr>
        <w:t>八、询问、质疑和投诉</w:t>
      </w:r>
      <w:bookmarkEnd w:id="104"/>
      <w:bookmarkEnd w:id="105"/>
    </w:p>
    <w:p>
      <w:pPr>
        <w:spacing w:before="3" w:line="240" w:lineRule="auto"/>
        <w:ind w:left="23" w:right="13" w:firstLine="482"/>
        <w:rPr>
          <w:rFonts w:ascii="宋体" w:hAnsi="宋体" w:eastAsia="宋体" w:cs="宋体"/>
          <w:color w:val="auto"/>
          <w:sz w:val="23"/>
          <w:szCs w:val="23"/>
          <w:highlight w:val="none"/>
        </w:rPr>
      </w:pPr>
      <w:r>
        <w:rPr>
          <w:rFonts w:hint="eastAsia" w:hAnsi="宋体"/>
          <w:color w:val="auto"/>
          <w:sz w:val="24"/>
          <w:highlight w:val="none"/>
        </w:rPr>
        <w:t>详见《供应商须知前附表》。</w:t>
      </w:r>
    </w:p>
    <w:p>
      <w:pPr>
        <w:spacing w:line="240" w:lineRule="auto"/>
        <w:ind w:firstLine="622" w:firstLineChars="200"/>
        <w:jc w:val="center"/>
        <w:outlineLvl w:val="1"/>
        <w:rPr>
          <w:rFonts w:ascii="宋体" w:hAnsi="宋体" w:eastAsia="宋体" w:cs="宋体"/>
          <w:b/>
          <w:bCs/>
          <w:color w:val="auto"/>
          <w:sz w:val="31"/>
          <w:szCs w:val="31"/>
          <w:highlight w:val="none"/>
        </w:rPr>
      </w:pPr>
      <w:bookmarkStart w:id="106" w:name="_Toc13074"/>
      <w:bookmarkStart w:id="107" w:name="_Toc30615"/>
      <w:r>
        <w:rPr>
          <w:rFonts w:hint="eastAsia" w:ascii="宋体" w:hAnsi="宋体" w:eastAsia="宋体" w:cs="宋体"/>
          <w:b/>
          <w:bCs/>
          <w:color w:val="auto"/>
          <w:sz w:val="31"/>
          <w:szCs w:val="31"/>
          <w:highlight w:val="none"/>
        </w:rPr>
        <w:t>九、其他</w:t>
      </w:r>
      <w:bookmarkEnd w:id="106"/>
      <w:bookmarkEnd w:id="107"/>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.本招标文件中所</w:t>
      </w:r>
      <w:r>
        <w:rPr>
          <w:rFonts w:hint="eastAsia" w:ascii="宋体" w:hAnsi="宋体" w:eastAsia="宋体" w:cs="宋体"/>
          <w:color w:val="auto"/>
          <w:sz w:val="24"/>
          <w:szCs w:val="24"/>
          <w:highlight w:val="none"/>
          <w:lang w:eastAsia="zh-CN"/>
        </w:rPr>
        <w:t>引用</w:t>
      </w:r>
      <w:r>
        <w:rPr>
          <w:rFonts w:hint="eastAsia" w:ascii="宋体" w:hAnsi="宋体" w:eastAsia="宋体" w:cs="宋体"/>
          <w:color w:val="auto"/>
          <w:sz w:val="24"/>
          <w:szCs w:val="24"/>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w:t>
      </w:r>
      <w:r>
        <w:rPr>
          <w:rFonts w:hint="eastAsia" w:ascii="宋体" w:hAnsi="宋体" w:eastAsia="宋体" w:cs="宋体"/>
          <w:color w:val="auto"/>
          <w:sz w:val="24"/>
          <w:szCs w:val="24"/>
          <w:highlight w:val="none"/>
          <w:lang w:eastAsia="zh-CN"/>
        </w:rPr>
        <w:t>作调整</w:t>
      </w:r>
      <w:r>
        <w:rPr>
          <w:rFonts w:hint="eastAsia" w:ascii="宋体" w:hAnsi="宋体" w:eastAsia="宋体" w:cs="宋体"/>
          <w:color w:val="auto"/>
          <w:sz w:val="24"/>
          <w:szCs w:val="24"/>
          <w:highlight w:val="none"/>
        </w:rPr>
        <w:t>。</w:t>
      </w:r>
    </w:p>
    <w:p>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42.本招标文件中加注(实质性要求)的条款，若未明确要求提供证明材料或承诺函，视为仅约束中标人，由中标人和招标人签订合同前进行核实。</w:t>
      </w:r>
    </w:p>
    <w:p>
      <w:pPr>
        <w:spacing w:line="240" w:lineRule="auto"/>
        <w:rPr>
          <w:color w:val="auto"/>
          <w:highlight w:val="none"/>
        </w:rPr>
        <w:sectPr>
          <w:headerReference r:id="rId4" w:type="default"/>
          <w:footerReference r:id="rId5" w:type="default"/>
          <w:pgSz w:w="11905" w:h="16838"/>
          <w:pgMar w:top="1417" w:right="1417" w:bottom="1417" w:left="1417" w:header="0" w:footer="1134" w:gutter="0"/>
          <w:cols w:space="425" w:num="1"/>
        </w:sectPr>
      </w:pPr>
    </w:p>
    <w:p>
      <w:pPr>
        <w:spacing w:before="114" w:line="240" w:lineRule="auto"/>
        <w:jc w:val="center"/>
        <w:outlineLvl w:val="0"/>
        <w:rPr>
          <w:rFonts w:ascii="宋体" w:hAnsi="宋体" w:eastAsia="宋体" w:cs="宋体"/>
          <w:color w:val="auto"/>
          <w:sz w:val="36"/>
          <w:szCs w:val="36"/>
          <w:highlight w:val="none"/>
          <w14:textOutline w14:w="6540" w14:cap="sq" w14:cmpd="sng" w14:algn="ctr">
            <w14:solidFill>
              <w14:srgbClr w14:val="000000"/>
            </w14:solidFill>
            <w14:prstDash w14:val="solid"/>
            <w14:bevel/>
          </w14:textOutline>
        </w:rPr>
      </w:pPr>
      <w:bookmarkStart w:id="108" w:name="_Toc17804"/>
      <w:r>
        <w:rPr>
          <w:rFonts w:hint="eastAsia" w:ascii="宋体" w:hAnsi="宋体" w:eastAsia="宋体" w:cs="宋体"/>
          <w:color w:val="auto"/>
          <w:sz w:val="36"/>
          <w:szCs w:val="36"/>
          <w:highlight w:val="none"/>
          <w14:textOutline w14:w="6540" w14:cap="sq" w14:cmpd="sng" w14:algn="ctr">
            <w14:solidFill>
              <w14:srgbClr w14:val="000000"/>
            </w14:solidFill>
            <w14:prstDash w14:val="solid"/>
            <w14:bevel/>
          </w14:textOutline>
        </w:rPr>
        <w:t>第三章 投标文件格式</w:t>
      </w:r>
      <w:bookmarkEnd w:id="108"/>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一、本章所制投标文件格式，除格式中明确将该格式作为实质性要求的，一律不具有强制性。</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二、本章所制投标文件格式有关表格中的备注栏，由投标人根据自身投标情况作解释性说明，不作为必填项。</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w:t>
      </w:r>
    </w:p>
    <w:p>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四、本章格式中“注”的内容，投标人可以自行决定是否保留在投标文件中。未保留视为投标人默认接受“注”的内容。</w:t>
      </w:r>
    </w:p>
    <w:p>
      <w:pPr>
        <w:spacing w:line="240" w:lineRule="auto"/>
        <w:rPr>
          <w:color w:val="auto"/>
          <w:highlight w:val="none"/>
        </w:rPr>
        <w:sectPr>
          <w:footerReference r:id="rId6" w:type="default"/>
          <w:pgSz w:w="11905" w:h="16838"/>
          <w:pgMar w:top="1417" w:right="1417" w:bottom="1417" w:left="1417" w:header="0" w:footer="1134" w:gutter="0"/>
          <w:cols w:space="425" w:num="1"/>
        </w:sectPr>
      </w:pPr>
    </w:p>
    <w:p>
      <w:pPr>
        <w:spacing w:line="240" w:lineRule="auto"/>
        <w:rPr>
          <w:color w:val="auto"/>
          <w:sz w:val="2"/>
          <w:highlight w:val="none"/>
        </w:rPr>
      </w:pPr>
      <w:r>
        <w:rPr>
          <w:color w:val="auto"/>
          <w:sz w:val="2"/>
          <w:szCs w:val="2"/>
          <w:highlight w:val="none"/>
        </w:rPr>
        <w:br w:type="column"/>
      </w:r>
    </w:p>
    <w:p>
      <w:pPr>
        <w:spacing w:line="240" w:lineRule="auto"/>
        <w:rPr>
          <w:color w:val="auto"/>
          <w:highlight w:val="none"/>
        </w:rPr>
      </w:pPr>
    </w:p>
    <w:p>
      <w:pPr>
        <w:spacing w:before="3" w:line="240" w:lineRule="auto"/>
        <w:ind w:left="23" w:right="13" w:firstLine="482"/>
        <w:jc w:val="center"/>
        <w:outlineLvl w:val="9"/>
        <w:rPr>
          <w:rFonts w:ascii="宋体" w:hAnsi="宋体" w:eastAsia="宋体" w:cs="宋体"/>
          <w:b/>
          <w:bCs/>
          <w:color w:val="auto"/>
          <w:sz w:val="32"/>
          <w:szCs w:val="32"/>
          <w:highlight w:val="none"/>
        </w:rPr>
      </w:pPr>
      <w:bookmarkStart w:id="109" w:name="_Toc32221"/>
      <w:r>
        <w:rPr>
          <w:rFonts w:hint="eastAsia" w:ascii="宋体" w:hAnsi="宋体" w:eastAsia="宋体" w:cs="宋体"/>
          <w:b/>
          <w:bCs/>
          <w:color w:val="auto"/>
          <w:sz w:val="32"/>
          <w:szCs w:val="32"/>
          <w:highlight w:val="none"/>
        </w:rPr>
        <w:t>资格性投标文件封面</w:t>
      </w:r>
      <w:bookmarkEnd w:id="109"/>
    </w:p>
    <w:p>
      <w:pPr>
        <w:pStyle w:val="2"/>
        <w:spacing w:line="240" w:lineRule="auto"/>
        <w:rPr>
          <w:rFonts w:ascii="宋体" w:hAnsi="宋体" w:eastAsia="宋体" w:cs="宋体"/>
          <w:b/>
          <w:bCs/>
          <w:color w:val="auto"/>
          <w:sz w:val="32"/>
          <w:szCs w:val="32"/>
          <w:highlight w:val="none"/>
        </w:rPr>
      </w:pPr>
    </w:p>
    <w:p>
      <w:pPr>
        <w:spacing w:line="240" w:lineRule="auto"/>
        <w:rPr>
          <w:color w:val="auto"/>
          <w:highlight w:val="none"/>
        </w:rPr>
      </w:pPr>
    </w:p>
    <w:p>
      <w:pPr>
        <w:spacing w:line="240" w:lineRule="auto"/>
        <w:rPr>
          <w:color w:val="auto"/>
          <w:highlight w:val="none"/>
        </w:rPr>
      </w:pPr>
    </w:p>
    <w:tbl>
      <w:tblPr>
        <w:tblStyle w:val="23"/>
        <w:tblW w:w="2001" w:type="dxa"/>
        <w:tblInd w:w="63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0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 w:hRule="atLeast"/>
        </w:trPr>
        <w:tc>
          <w:tcPr>
            <w:tcW w:w="2001" w:type="dxa"/>
          </w:tcPr>
          <w:p>
            <w:pPr>
              <w:spacing w:before="58" w:line="240" w:lineRule="auto"/>
              <w:ind w:left="567"/>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pPr>
        <w:spacing w:before="3" w:line="240" w:lineRule="auto"/>
        <w:ind w:left="23" w:right="13" w:firstLine="482"/>
        <w:jc w:val="center"/>
        <w:rPr>
          <w:rFonts w:ascii="宋体" w:hAnsi="宋体" w:eastAsia="宋体" w:cs="宋体"/>
          <w:b/>
          <w:bCs/>
          <w:color w:val="auto"/>
          <w:sz w:val="44"/>
          <w:szCs w:val="44"/>
          <w:highlight w:val="none"/>
        </w:rPr>
      </w:pPr>
    </w:p>
    <w:p>
      <w:pPr>
        <w:pStyle w:val="2"/>
        <w:spacing w:line="240" w:lineRule="auto"/>
        <w:rPr>
          <w:color w:val="auto"/>
          <w:highlight w:val="none"/>
        </w:rPr>
      </w:pPr>
    </w:p>
    <w:p>
      <w:pPr>
        <w:spacing w:before="3" w:line="240" w:lineRule="auto"/>
        <w:ind w:left="23" w:right="13" w:firstLine="482"/>
        <w:jc w:val="center"/>
        <w:outlineLvl w:val="1"/>
        <w:rPr>
          <w:rFonts w:ascii="宋体" w:hAnsi="宋体" w:eastAsia="宋体" w:cs="宋体"/>
          <w:b/>
          <w:bCs/>
          <w:color w:val="auto"/>
          <w:sz w:val="44"/>
          <w:szCs w:val="44"/>
          <w:highlight w:val="none"/>
        </w:rPr>
      </w:pPr>
      <w:bookmarkStart w:id="110" w:name="_Toc5586"/>
      <w:bookmarkStart w:id="111" w:name="_Toc26429"/>
      <w:r>
        <w:rPr>
          <w:rFonts w:hint="eastAsia" w:ascii="宋体" w:hAnsi="宋体" w:eastAsia="宋体" w:cs="宋体"/>
          <w:b/>
          <w:bCs/>
          <w:color w:val="auto"/>
          <w:sz w:val="44"/>
          <w:szCs w:val="44"/>
          <w:highlight w:val="none"/>
        </w:rPr>
        <w:t>第一部分：资格性投标文件</w:t>
      </w:r>
      <w:bookmarkEnd w:id="110"/>
      <w:bookmarkEnd w:id="111"/>
    </w:p>
    <w:p>
      <w:pPr>
        <w:spacing w:line="240" w:lineRule="auto"/>
        <w:rPr>
          <w:color w:val="auto"/>
          <w:highlight w:val="none"/>
        </w:rPr>
      </w:pPr>
    </w:p>
    <w:p>
      <w:pPr>
        <w:spacing w:line="240" w:lineRule="auto"/>
        <w:rPr>
          <w:color w:val="auto"/>
          <w:highlight w:val="none"/>
        </w:rPr>
      </w:pPr>
    </w:p>
    <w:p>
      <w:pPr>
        <w:pStyle w:val="2"/>
        <w:spacing w:line="240" w:lineRule="auto"/>
        <w:rPr>
          <w:rFonts w:ascii="Arial"/>
          <w:color w:val="auto"/>
          <w:sz w:val="21"/>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pPr>
        <w:spacing w:before="3" w:line="240" w:lineRule="auto"/>
        <w:ind w:left="23" w:right="13" w:firstLine="482"/>
        <w:jc w:val="center"/>
        <w:rPr>
          <w:rFonts w:ascii="宋体" w:hAnsi="宋体" w:eastAsia="宋体" w:cs="宋体"/>
          <w:b/>
          <w:bCs/>
          <w:color w:val="auto"/>
          <w:spacing w:val="18"/>
          <w:sz w:val="32"/>
          <w:szCs w:val="32"/>
          <w:highlight w:val="none"/>
        </w:rPr>
      </w:pPr>
    </w:p>
    <w:p>
      <w:pPr>
        <w:spacing w:before="3" w:line="240" w:lineRule="auto"/>
        <w:ind w:left="23" w:right="13" w:firstLine="482"/>
        <w:jc w:val="center"/>
        <w:rPr>
          <w:rFonts w:ascii="宋体" w:hAnsi="宋体" w:eastAsia="宋体" w:cs="宋体"/>
          <w:b/>
          <w:bCs/>
          <w:color w:val="auto"/>
          <w:spacing w:val="18"/>
          <w:sz w:val="32"/>
          <w:szCs w:val="32"/>
          <w:highlight w:val="none"/>
        </w:rPr>
      </w:pPr>
    </w:p>
    <w:p>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spacing w:line="240" w:lineRule="auto"/>
        <w:rPr>
          <w:color w:val="auto"/>
          <w:highlight w:val="none"/>
        </w:rPr>
        <w:sectPr>
          <w:headerReference r:id="rId7" w:type="default"/>
          <w:footerReference r:id="rId8" w:type="default"/>
          <w:type w:val="continuous"/>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12" w:name="_Toc6855"/>
      <w:bookmarkStart w:id="113" w:name="_Toc538"/>
      <w:r>
        <w:rPr>
          <w:rFonts w:hint="eastAsia" w:ascii="宋体" w:hAnsi="宋体" w:eastAsia="宋体" w:cs="宋体"/>
          <w:b/>
          <w:bCs/>
          <w:color w:val="auto"/>
          <w:sz w:val="32"/>
          <w:szCs w:val="32"/>
          <w:highlight w:val="none"/>
        </w:rPr>
        <w:t>一、相关证明文件格式</w:t>
      </w:r>
      <w:bookmarkEnd w:id="112"/>
      <w:bookmarkEnd w:id="113"/>
    </w:p>
    <w:p>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p>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法定代表人/单位负责人证明书</w:t>
      </w:r>
    </w:p>
    <w:p>
      <w:pPr>
        <w:spacing w:line="240" w:lineRule="auto"/>
        <w:rPr>
          <w:color w:val="auto"/>
          <w:highlight w:val="none"/>
        </w:rPr>
      </w:pPr>
    </w:p>
    <w:p>
      <w:pPr>
        <w:spacing w:before="75" w:line="240" w:lineRule="auto"/>
        <w:ind w:left="9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pPr>
        <w:spacing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before="305"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tabs>
          <w:tab w:val="left" w:pos="569"/>
        </w:tabs>
        <w:spacing w:before="315" w:line="240" w:lineRule="auto"/>
        <w:ind w:left="442"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投标人名称) 的法定代表人/单位负责人。就参加贵公司组织的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(采购项目编号)投标活动，签署上述项目的投标文件及合同的执行、完成、服务和保修，签署合同和处理与之有关的一切事务。</w:t>
      </w:r>
    </w:p>
    <w:p>
      <w:pPr>
        <w:spacing w:before="75" w:line="240" w:lineRule="auto"/>
        <w:ind w:left="98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特此证明。</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before="75" w:line="240" w:lineRule="auto"/>
        <w:ind w:left="98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(※此处请附法定代表人/单位负责人身份证明材料正反两面复印件※)</w:t>
      </w:r>
    </w:p>
    <w:p>
      <w:pPr>
        <w:spacing w:line="240" w:lineRule="auto"/>
        <w:rPr>
          <w:color w:val="auto"/>
          <w:sz w:val="24"/>
          <w:szCs w:val="24"/>
          <w:highlight w:val="none"/>
        </w:rPr>
      </w:pPr>
    </w:p>
    <w:p>
      <w:pPr>
        <w:spacing w:line="240" w:lineRule="auto"/>
        <w:rPr>
          <w:color w:val="auto"/>
          <w:sz w:val="24"/>
          <w:szCs w:val="24"/>
          <w:highlight w:val="none"/>
        </w:rPr>
      </w:pP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法定代表人/单位负责人(签字或加盖个人名章)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sz w:val="24"/>
          <w:szCs w:val="24"/>
          <w:highlight w:val="none"/>
        </w:rPr>
      </w:pPr>
    </w:p>
    <w:p>
      <w:pPr>
        <w:spacing w:line="240" w:lineRule="auto"/>
        <w:rPr>
          <w:color w:val="auto"/>
          <w:sz w:val="24"/>
          <w:szCs w:val="24"/>
          <w:highlight w:val="none"/>
        </w:rPr>
      </w:pPr>
    </w:p>
    <w:p>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注意：1、法定代表人/单位负责人参加本项目投标的，仅须出具此证明书。</w:t>
      </w:r>
    </w:p>
    <w:p>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2、身份证明材料包括居民身份证或居民户口簿或军官证或护照等。</w:t>
      </w:r>
    </w:p>
    <w:p>
      <w:pPr>
        <w:spacing w:before="75" w:line="240" w:lineRule="auto"/>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3、身份证明材料应同时提供其在有效期的材料，如居民身份证正、反面复印件</w:t>
      </w:r>
      <w:r>
        <w:rPr>
          <w:rFonts w:ascii="宋体" w:hAnsi="宋体" w:eastAsia="宋体" w:cs="宋体"/>
          <w:color w:val="auto"/>
          <w:position w:val="1"/>
          <w:sz w:val="24"/>
          <w:szCs w:val="24"/>
          <w:highlight w:val="none"/>
          <w14:textOutline w14:w="4356" w14:cap="sq" w14:cmpd="sng" w14:algn="ctr">
            <w14:solidFill>
              <w14:srgbClr w14:val="000000"/>
            </w14:solidFill>
            <w14:prstDash w14:val="solid"/>
            <w14:bevel/>
          </w14:textOutline>
        </w:rPr>
        <w:t>。</w:t>
      </w:r>
    </w:p>
    <w:p>
      <w:pPr>
        <w:spacing w:line="240" w:lineRule="auto"/>
        <w:rPr>
          <w:color w:val="auto"/>
          <w:highlight w:val="none"/>
        </w:rPr>
        <w:sectPr>
          <w:headerReference r:id="rId9" w:type="default"/>
          <w:footerReference r:id="rId10" w:type="default"/>
          <w:pgSz w:w="11905" w:h="16838"/>
          <w:pgMar w:top="1417" w:right="1417" w:bottom="1417" w:left="1417" w:header="0" w:footer="1134" w:gutter="0"/>
          <w:cols w:space="425" w:num="1"/>
        </w:sectPr>
      </w:pPr>
    </w:p>
    <w:p>
      <w:pPr>
        <w:spacing w:before="3" w:line="240" w:lineRule="auto"/>
        <w:ind w:right="13"/>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pPr>
        <w:spacing w:before="75" w:line="240" w:lineRule="auto"/>
        <w:ind w:left="2611"/>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法定代表人/单位负责人授权书</w:t>
      </w:r>
    </w:p>
    <w:p>
      <w:pPr>
        <w:spacing w:line="240" w:lineRule="auto"/>
        <w:rPr>
          <w:color w:val="auto"/>
          <w:highlight w:val="none"/>
        </w:rPr>
      </w:pPr>
    </w:p>
    <w:p>
      <w:pPr>
        <w:spacing w:line="240" w:lineRule="auto"/>
        <w:rPr>
          <w:color w:val="auto"/>
          <w:highlight w:val="none"/>
        </w:rPr>
      </w:pPr>
    </w:p>
    <w:p>
      <w:pPr>
        <w:tabs>
          <w:tab w:val="left" w:pos="1588"/>
        </w:tabs>
        <w:spacing w:before="74"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pPr>
        <w:spacing w:before="77" w:line="240" w:lineRule="auto"/>
        <w:ind w:left="2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(法定代表人/单位负责人姓名、职务)授权</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(被授权人姓名、职务)为我方“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)投标活动的合法代表，以我方名义全权处理该项目有关投标、签订合同以及执行合同等一切事宜。</w:t>
      </w:r>
    </w:p>
    <w:p>
      <w:pPr>
        <w:spacing w:line="240" w:lineRule="auto"/>
        <w:ind w:left="493"/>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特此声明。</w:t>
      </w:r>
    </w:p>
    <w:p>
      <w:pPr>
        <w:spacing w:line="240" w:lineRule="auto"/>
        <w:rPr>
          <w:color w:val="auto"/>
          <w:highlight w:val="none"/>
        </w:rPr>
      </w:pPr>
    </w:p>
    <w:p>
      <w:pPr>
        <w:spacing w:line="240" w:lineRule="auto"/>
        <w:rPr>
          <w:color w:val="auto"/>
          <w:highlight w:val="none"/>
        </w:rPr>
      </w:pPr>
    </w:p>
    <w:p>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r>
        <w:rPr>
          <w:rFonts w:ascii="宋体" w:hAnsi="宋体" w:eastAsia="宋体" w:cs="宋体"/>
          <w:color w:val="auto"/>
          <w:sz w:val="24"/>
          <w:szCs w:val="24"/>
          <w:highlight w:val="none"/>
        </w:rPr>
        <w:t xml:space="preserve">          </w:t>
      </w:r>
    </w:p>
    <w:p>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授权代表(签字或加盖个人名章) ：</w:t>
      </w:r>
      <w:r>
        <w:rPr>
          <w:rFonts w:ascii="宋体" w:hAnsi="宋体" w:eastAsia="宋体" w:cs="宋体"/>
          <w:color w:val="auto"/>
          <w:sz w:val="24"/>
          <w:szCs w:val="24"/>
          <w:highlight w:val="none"/>
          <w:u w:val="single"/>
        </w:rPr>
        <w:t xml:space="preserve">                  </w:t>
      </w:r>
    </w:p>
    <w:p>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注：1、供应商为法人单位时提供“法定代表人授权书”，供应商为其他组织时提供“单位负责人授权书”，供应商为自然人时提供“自然人身份证明材料”。</w:t>
      </w:r>
    </w:p>
    <w:p>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2、应附法定代表人/单位负责人身份证明材料复印件和授权代表身份证明材 料复印件(包括正反两面) 。</w:t>
      </w:r>
    </w:p>
    <w:p>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3、身份证明材料包括居民身份证或居民户口簿或军官证或护照等。</w:t>
      </w:r>
    </w:p>
    <w:p>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4、身份证明材料应同时提供其在有效期的材料，如居民身份证正、反面复印件。</w:t>
      </w:r>
    </w:p>
    <w:p>
      <w:pPr>
        <w:spacing w:before="3" w:line="240" w:lineRule="auto"/>
        <w:ind w:right="13"/>
        <w:jc w:val="center"/>
        <w:rPr>
          <w:color w:val="auto"/>
          <w:highlight w:val="none"/>
        </w:rPr>
        <w:sectPr>
          <w:headerReference r:id="rId11" w:type="default"/>
          <w:footerReference r:id="rId12" w:type="default"/>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14" w:name="_Toc8667"/>
      <w:bookmarkStart w:id="115" w:name="_Toc17596"/>
      <w:r>
        <w:rPr>
          <w:rFonts w:hint="eastAsia" w:ascii="宋体" w:hAnsi="宋体" w:eastAsia="宋体" w:cs="宋体"/>
          <w:b/>
          <w:bCs/>
          <w:color w:val="auto"/>
          <w:sz w:val="32"/>
          <w:szCs w:val="32"/>
          <w:highlight w:val="none"/>
        </w:rPr>
        <w:t>二、资格性承诺函 (实质性要求)</w:t>
      </w:r>
      <w:bookmarkEnd w:id="114"/>
      <w:bookmarkEnd w:id="115"/>
    </w:p>
    <w:p>
      <w:pPr>
        <w:tabs>
          <w:tab w:val="left" w:pos="1948"/>
        </w:tabs>
        <w:spacing w:line="240" w:lineRule="auto"/>
        <w:rPr>
          <w:rFonts w:ascii="宋体" w:hAnsi="宋体" w:eastAsia="宋体" w:cs="宋体"/>
          <w:color w:val="auto"/>
          <w:sz w:val="23"/>
          <w:szCs w:val="23"/>
          <w:highlight w:val="none"/>
          <w:u w:val="single"/>
        </w:rPr>
      </w:pPr>
    </w:p>
    <w:p>
      <w:pPr>
        <w:tabs>
          <w:tab w:val="left" w:pos="1948"/>
        </w:tabs>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我单位作为本次采购项目的投标人，根据招标文件要求，现郑重承诺如下：具备《中华人民共和国政府采购法》第二十二条第一款和本项目规定的条件：</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 具有独立承担民事责任的能力；</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 具有良好的商业信誉和健全的财务会计制度；</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 具有履行合同所必需的设备和专业技术能力；</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 有依法缴纳税收和社会保障资金的良好记录；</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参加采购活动前三年内，在经营活动中没有重大违法记录；(公司成立不足三年</w:t>
      </w:r>
      <w:r>
        <w:rPr>
          <w:rFonts w:hint="eastAsia" w:ascii="宋体" w:hAnsi="宋体" w:eastAsia="宋体" w:cs="宋体"/>
          <w:color w:val="auto"/>
          <w:sz w:val="24"/>
          <w:szCs w:val="24"/>
          <w:highlight w:val="none"/>
          <w:lang w:eastAsia="zh-CN"/>
        </w:rPr>
        <w:t>的从</w:t>
      </w:r>
      <w:r>
        <w:rPr>
          <w:rFonts w:hint="eastAsia" w:ascii="宋体" w:hAnsi="宋体" w:eastAsia="宋体" w:cs="宋体"/>
          <w:color w:val="auto"/>
          <w:sz w:val="24"/>
          <w:szCs w:val="24"/>
          <w:highlight w:val="none"/>
        </w:rPr>
        <w:t>成立之日起算)</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 法律、行政法规规定的其他条件；</w:t>
      </w:r>
    </w:p>
    <w:p>
      <w:pPr>
        <w:spacing w:line="24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 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r>
        <w:rPr>
          <w:rFonts w:hint="eastAsia" w:ascii="宋体" w:hAnsi="宋体" w:eastAsia="宋体" w:cs="宋体"/>
          <w:color w:val="auto"/>
          <w:sz w:val="24"/>
          <w:szCs w:val="24"/>
          <w:highlight w:val="none"/>
          <w:lang w:eastAsia="zh-CN"/>
        </w:rPr>
        <w:t>。</w:t>
      </w:r>
    </w:p>
    <w:p>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pPr>
        <w:spacing w:before="1" w:line="240" w:lineRule="auto"/>
        <w:ind w:left="496"/>
        <w:rPr>
          <w:rFonts w:ascii="宋体" w:hAnsi="宋体" w:eastAsia="宋体" w:cs="宋体"/>
          <w:color w:val="auto"/>
          <w:sz w:val="24"/>
          <w:szCs w:val="24"/>
          <w:highlight w:val="none"/>
        </w:rPr>
      </w:pPr>
    </w:p>
    <w:p>
      <w:pPr>
        <w:spacing w:before="1" w:line="240" w:lineRule="auto"/>
        <w:ind w:left="496"/>
        <w:rPr>
          <w:rFonts w:ascii="宋体" w:hAnsi="宋体" w:eastAsia="宋体" w:cs="宋体"/>
          <w:color w:val="auto"/>
          <w:sz w:val="24"/>
          <w:szCs w:val="24"/>
          <w:highlight w:val="none"/>
        </w:rPr>
      </w:pPr>
    </w:p>
    <w:p>
      <w:pPr>
        <w:spacing w:before="1" w:line="240" w:lineRule="auto"/>
        <w:ind w:left="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sectPr>
          <w:headerReference r:id="rId13" w:type="default"/>
          <w:footerReference r:id="rId14" w:type="default"/>
          <w:pgSz w:w="11905" w:h="16838"/>
          <w:pgMar w:top="1417" w:right="1417" w:bottom="1417" w:left="1417" w:header="0" w:footer="1134" w:gutter="0"/>
          <w:cols w:space="425" w:num="1"/>
        </w:sectPr>
      </w:pPr>
    </w:p>
    <w:p>
      <w:pPr>
        <w:spacing w:before="41" w:line="240" w:lineRule="auto"/>
        <w:ind w:firstLine="0"/>
        <w:textAlignment w:val="center"/>
        <w:rPr>
          <w:color w:val="auto"/>
          <w:highlight w:val="none"/>
        </w:rPr>
      </w:pPr>
    </w:p>
    <w:p>
      <w:pPr>
        <w:numPr>
          <w:ilvl w:val="255"/>
          <w:numId w:val="0"/>
        </w:numPr>
        <w:spacing w:before="0" w:line="240" w:lineRule="auto"/>
        <w:ind w:right="0"/>
        <w:outlineLvl w:val="9"/>
        <w:rPr>
          <w:rFonts w:ascii="宋体" w:hAnsi="宋体" w:eastAsia="宋体" w:cs="宋体"/>
          <w:b/>
          <w:bCs/>
          <w:color w:val="auto"/>
          <w:sz w:val="32"/>
          <w:szCs w:val="32"/>
          <w:highlight w:val="none"/>
        </w:rPr>
      </w:pPr>
      <w:bookmarkStart w:id="116" w:name="_Toc13627"/>
      <w:bookmarkStart w:id="117" w:name="_Toc1481"/>
      <w:r>
        <w:rPr>
          <w:rFonts w:hint="eastAsia" w:ascii="宋体" w:hAnsi="宋体" w:eastAsia="宋体" w:cs="宋体"/>
          <w:b/>
          <w:bCs/>
          <w:color w:val="auto"/>
          <w:sz w:val="32"/>
          <w:szCs w:val="32"/>
          <w:highlight w:val="none"/>
        </w:rPr>
        <w:t>三、具有独立承担民事责任能力的证明材料</w:t>
      </w:r>
      <w:bookmarkEnd w:id="116"/>
      <w:bookmarkEnd w:id="117"/>
      <w:r>
        <w:rPr>
          <w:rFonts w:hint="eastAsia" w:ascii="宋体" w:hAnsi="宋体" w:eastAsia="宋体" w:cs="宋体"/>
          <w:b/>
          <w:bCs/>
          <w:color w:val="auto"/>
          <w:sz w:val="32"/>
          <w:szCs w:val="32"/>
          <w:highlight w:val="none"/>
        </w:rPr>
        <w:t xml:space="preserve"> </w:t>
      </w:r>
    </w:p>
    <w:p>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pPr>
        <w:spacing w:before="3" w:line="240" w:lineRule="auto"/>
        <w:ind w:right="13"/>
        <w:jc w:val="center"/>
        <w:rPr>
          <w:rFonts w:ascii="宋体" w:hAnsi="宋体" w:eastAsia="宋体" w:cs="宋体"/>
          <w:b/>
          <w:bCs/>
          <w:color w:val="auto"/>
          <w:sz w:val="32"/>
          <w:szCs w:val="32"/>
          <w:highlight w:val="none"/>
        </w:rPr>
      </w:pPr>
    </w:p>
    <w:p>
      <w:pPr>
        <w:spacing w:before="3" w:line="240" w:lineRule="auto"/>
        <w:ind w:right="13"/>
        <w:jc w:val="both"/>
        <w:outlineLvl w:val="9"/>
        <w:rPr>
          <w:rFonts w:ascii="宋体" w:hAnsi="宋体" w:eastAsia="宋体" w:cs="宋体"/>
          <w:b/>
          <w:bCs/>
          <w:color w:val="auto"/>
          <w:sz w:val="32"/>
          <w:szCs w:val="32"/>
          <w:highlight w:val="none"/>
        </w:rPr>
      </w:pPr>
      <w:bookmarkStart w:id="118" w:name="_Toc11241"/>
      <w:bookmarkStart w:id="119" w:name="_Toc21705"/>
      <w:r>
        <w:rPr>
          <w:rFonts w:hint="eastAsia" w:ascii="宋体" w:hAnsi="宋体" w:eastAsia="宋体" w:cs="宋体"/>
          <w:b/>
          <w:bCs/>
          <w:color w:val="auto"/>
          <w:sz w:val="32"/>
          <w:szCs w:val="32"/>
          <w:highlight w:val="none"/>
        </w:rPr>
        <w:t>四、具有商业信誉和健全的财务会计制度的证明材料</w:t>
      </w:r>
      <w:bookmarkEnd w:id="118"/>
      <w:bookmarkEnd w:id="119"/>
      <w:r>
        <w:rPr>
          <w:rFonts w:hint="eastAsia" w:ascii="宋体" w:hAnsi="宋体" w:eastAsia="宋体" w:cs="宋体"/>
          <w:b/>
          <w:bCs/>
          <w:color w:val="auto"/>
          <w:sz w:val="32"/>
          <w:szCs w:val="32"/>
          <w:highlight w:val="none"/>
        </w:rPr>
        <w:t xml:space="preserve"> </w:t>
      </w:r>
    </w:p>
    <w:p>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pPr>
        <w:spacing w:line="240" w:lineRule="auto"/>
        <w:rPr>
          <w:color w:val="auto"/>
          <w:highlight w:val="none"/>
        </w:rPr>
      </w:pPr>
    </w:p>
    <w:p>
      <w:pPr>
        <w:spacing w:before="3" w:line="240" w:lineRule="auto"/>
        <w:ind w:right="13"/>
        <w:jc w:val="center"/>
        <w:outlineLvl w:val="9"/>
        <w:rPr>
          <w:rFonts w:ascii="宋体" w:hAnsi="宋体" w:eastAsia="宋体" w:cs="宋体"/>
          <w:b/>
          <w:bCs/>
          <w:color w:val="auto"/>
          <w:sz w:val="32"/>
          <w:szCs w:val="32"/>
          <w:highlight w:val="none"/>
        </w:rPr>
      </w:pPr>
      <w:bookmarkStart w:id="120" w:name="_Toc272"/>
      <w:bookmarkStart w:id="121" w:name="_Toc21468"/>
      <w:r>
        <w:rPr>
          <w:rFonts w:hint="eastAsia" w:ascii="宋体" w:hAnsi="宋体" w:eastAsia="宋体" w:cs="宋体"/>
          <w:b/>
          <w:bCs/>
          <w:color w:val="auto"/>
          <w:sz w:val="32"/>
          <w:szCs w:val="32"/>
          <w:highlight w:val="none"/>
        </w:rPr>
        <w:t xml:space="preserve">五、提供具有履行合同所必需的设备和专业技术能力的证明材料 </w:t>
      </w:r>
      <w:r>
        <w:rPr>
          <w:rFonts w:hint="eastAsia" w:ascii="宋体" w:hAnsi="宋体" w:eastAsia="宋体" w:cs="宋体"/>
          <w:color w:val="auto"/>
          <w:sz w:val="24"/>
          <w:szCs w:val="24"/>
          <w:highlight w:val="none"/>
        </w:rPr>
        <w:t>(根据招标文件第五章要求提供)</w:t>
      </w:r>
      <w:bookmarkEnd w:id="120"/>
      <w:bookmarkEnd w:id="121"/>
    </w:p>
    <w:p>
      <w:pPr>
        <w:spacing w:line="240" w:lineRule="auto"/>
        <w:rPr>
          <w:color w:val="auto"/>
          <w:highlight w:val="none"/>
        </w:rPr>
      </w:pPr>
    </w:p>
    <w:p>
      <w:pPr>
        <w:spacing w:before="3" w:line="240" w:lineRule="auto"/>
        <w:ind w:right="13"/>
        <w:jc w:val="both"/>
        <w:outlineLvl w:val="9"/>
        <w:rPr>
          <w:rFonts w:ascii="宋体" w:hAnsi="宋体" w:eastAsia="宋体" w:cs="宋体"/>
          <w:b/>
          <w:bCs/>
          <w:color w:val="auto"/>
          <w:sz w:val="32"/>
          <w:szCs w:val="32"/>
          <w:highlight w:val="none"/>
        </w:rPr>
      </w:pPr>
      <w:bookmarkStart w:id="122" w:name="_Toc3675"/>
      <w:bookmarkStart w:id="123" w:name="_Toc13755"/>
      <w:r>
        <w:rPr>
          <w:rFonts w:hint="eastAsia" w:ascii="宋体" w:hAnsi="宋体" w:eastAsia="宋体" w:cs="宋体"/>
          <w:b/>
          <w:bCs/>
          <w:color w:val="auto"/>
          <w:sz w:val="32"/>
          <w:szCs w:val="32"/>
          <w:highlight w:val="none"/>
        </w:rPr>
        <w:t>六、有依法缴纳税收和社会保障资金的良好记录的证明材料</w:t>
      </w:r>
      <w:bookmarkEnd w:id="122"/>
      <w:bookmarkEnd w:id="123"/>
    </w:p>
    <w:p>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pPr>
        <w:pStyle w:val="2"/>
        <w:spacing w:line="240" w:lineRule="auto"/>
        <w:rPr>
          <w:color w:val="auto"/>
          <w:highlight w:val="none"/>
        </w:rPr>
      </w:pPr>
    </w:p>
    <w:p>
      <w:pPr>
        <w:spacing w:before="3" w:line="240" w:lineRule="auto"/>
        <w:ind w:right="13"/>
        <w:jc w:val="both"/>
        <w:outlineLvl w:val="9"/>
        <w:rPr>
          <w:rFonts w:ascii="宋体" w:hAnsi="宋体" w:eastAsia="宋体" w:cs="宋体"/>
          <w:b/>
          <w:bCs/>
          <w:color w:val="auto"/>
          <w:sz w:val="32"/>
          <w:szCs w:val="32"/>
          <w:highlight w:val="none"/>
        </w:rPr>
      </w:pPr>
      <w:bookmarkStart w:id="124" w:name="_Toc22346"/>
      <w:bookmarkStart w:id="125" w:name="_Toc18660"/>
      <w:r>
        <w:rPr>
          <w:rFonts w:hint="eastAsia" w:ascii="宋体" w:hAnsi="宋体" w:eastAsia="宋体" w:cs="宋体"/>
          <w:b/>
          <w:bCs/>
          <w:color w:val="auto"/>
          <w:sz w:val="32"/>
          <w:szCs w:val="32"/>
          <w:highlight w:val="none"/>
        </w:rPr>
        <w:t>七、参加本次采购活动前三年内，在经营活动中没有重大违法记录的证明材料</w:t>
      </w:r>
      <w:bookmarkEnd w:id="124"/>
      <w:bookmarkEnd w:id="125"/>
      <w:r>
        <w:rPr>
          <w:rFonts w:hint="eastAsia" w:ascii="宋体" w:hAnsi="宋体" w:eastAsia="宋体" w:cs="宋体"/>
          <w:b/>
          <w:bCs/>
          <w:color w:val="auto"/>
          <w:sz w:val="32"/>
          <w:szCs w:val="32"/>
          <w:highlight w:val="none"/>
        </w:rPr>
        <w:t xml:space="preserve"> </w:t>
      </w:r>
    </w:p>
    <w:p>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pPr>
        <w:pStyle w:val="2"/>
        <w:spacing w:line="240" w:lineRule="auto"/>
        <w:rPr>
          <w:color w:val="auto"/>
          <w:highlight w:val="none"/>
        </w:rPr>
      </w:pPr>
    </w:p>
    <w:p>
      <w:pPr>
        <w:spacing w:before="3" w:line="240" w:lineRule="auto"/>
        <w:ind w:right="13"/>
        <w:jc w:val="both"/>
        <w:outlineLvl w:val="9"/>
        <w:rPr>
          <w:rFonts w:ascii="宋体" w:hAnsi="宋体" w:eastAsia="宋体" w:cs="宋体"/>
          <w:b/>
          <w:bCs/>
          <w:color w:val="auto"/>
          <w:sz w:val="32"/>
          <w:szCs w:val="32"/>
          <w:highlight w:val="none"/>
        </w:rPr>
      </w:pPr>
      <w:bookmarkStart w:id="126" w:name="_Toc21320"/>
      <w:bookmarkStart w:id="127" w:name="_Toc29820"/>
      <w:r>
        <w:rPr>
          <w:rFonts w:hint="eastAsia" w:ascii="宋体" w:hAnsi="宋体" w:eastAsia="宋体" w:cs="宋体"/>
          <w:b/>
          <w:bCs/>
          <w:color w:val="auto"/>
          <w:sz w:val="32"/>
          <w:szCs w:val="32"/>
          <w:highlight w:val="none"/>
        </w:rPr>
        <w:t>八、具备法律、行政法规规定的其他条件的承诺函</w:t>
      </w:r>
      <w:bookmarkEnd w:id="126"/>
      <w:bookmarkEnd w:id="127"/>
      <w:r>
        <w:rPr>
          <w:rFonts w:hint="eastAsia" w:ascii="宋体" w:hAnsi="宋体" w:eastAsia="宋体" w:cs="宋体"/>
          <w:b/>
          <w:bCs/>
          <w:color w:val="auto"/>
          <w:sz w:val="32"/>
          <w:szCs w:val="32"/>
          <w:highlight w:val="none"/>
        </w:rPr>
        <w:t xml:space="preserve"> </w:t>
      </w:r>
    </w:p>
    <w:p>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pPr>
        <w:spacing w:line="240" w:lineRule="auto"/>
        <w:rPr>
          <w:color w:val="auto"/>
          <w:highlight w:val="none"/>
        </w:rPr>
      </w:pPr>
    </w:p>
    <w:p>
      <w:pPr>
        <w:spacing w:before="3" w:line="240" w:lineRule="auto"/>
        <w:ind w:right="13"/>
        <w:jc w:val="both"/>
        <w:outlineLvl w:val="9"/>
        <w:rPr>
          <w:color w:val="auto"/>
          <w:highlight w:val="none"/>
        </w:rPr>
      </w:pPr>
      <w:bookmarkStart w:id="128" w:name="_Toc5524"/>
      <w:bookmarkStart w:id="129" w:name="_Toc24048"/>
      <w:r>
        <w:rPr>
          <w:rFonts w:hint="eastAsia" w:ascii="宋体" w:hAnsi="宋体" w:eastAsia="宋体" w:cs="宋体"/>
          <w:b/>
          <w:bCs/>
          <w:color w:val="auto"/>
          <w:sz w:val="32"/>
          <w:szCs w:val="32"/>
          <w:highlight w:val="none"/>
        </w:rPr>
        <w:t>九、第五章规定的其他相关证明材料 (格式自拟) ……</w:t>
      </w:r>
      <w:bookmarkEnd w:id="128"/>
      <w:bookmarkEnd w:id="129"/>
      <w:r>
        <w:rPr>
          <w:color w:val="auto"/>
          <w:highlight w:val="none"/>
        </w:rPr>
        <w:br w:type="page"/>
      </w:r>
    </w:p>
    <w:p>
      <w:pPr>
        <w:spacing w:before="59" w:line="240" w:lineRule="auto"/>
        <w:ind w:left="2601"/>
        <w:outlineLvl w:val="9"/>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其他</w:t>
      </w:r>
      <w:bookmarkStart w:id="130" w:name="_Toc8237"/>
      <w:bookmarkStart w:id="131" w:name="_Toc26162"/>
      <w:r>
        <w:rPr>
          <w:rFonts w:hint="eastAsia" w:ascii="宋体" w:hAnsi="宋体" w:eastAsia="宋体" w:cs="宋体"/>
          <w:b/>
          <w:bCs/>
          <w:color w:val="auto"/>
          <w:sz w:val="32"/>
          <w:szCs w:val="32"/>
          <w:highlight w:val="none"/>
        </w:rPr>
        <w:t>响应性投标文件封面</w:t>
      </w:r>
      <w:bookmarkEnd w:id="130"/>
      <w:bookmarkEnd w:id="131"/>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tbl>
      <w:tblPr>
        <w:tblStyle w:val="23"/>
        <w:tblW w:w="1640" w:type="dxa"/>
        <w:tblInd w:w="6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6" w:hRule="atLeast"/>
        </w:trPr>
        <w:tc>
          <w:tcPr>
            <w:tcW w:w="1640" w:type="dxa"/>
          </w:tcPr>
          <w:p>
            <w:pPr>
              <w:spacing w:before="58" w:line="240" w:lineRule="auto"/>
              <w:ind w:left="206"/>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pPr>
        <w:spacing w:line="240" w:lineRule="auto"/>
        <w:rPr>
          <w:color w:val="auto"/>
          <w:highlight w:val="none"/>
        </w:rPr>
      </w:pPr>
    </w:p>
    <w:p>
      <w:pPr>
        <w:spacing w:before="3" w:line="240" w:lineRule="auto"/>
        <w:ind w:right="13"/>
        <w:jc w:val="center"/>
        <w:rPr>
          <w:rFonts w:ascii="宋体" w:hAnsi="宋体" w:eastAsia="宋体" w:cs="宋体"/>
          <w:b/>
          <w:bCs/>
          <w:color w:val="auto"/>
          <w:sz w:val="44"/>
          <w:szCs w:val="44"/>
          <w:highlight w:val="none"/>
        </w:rPr>
      </w:pPr>
    </w:p>
    <w:p>
      <w:pPr>
        <w:spacing w:before="3" w:line="240" w:lineRule="auto"/>
        <w:ind w:right="13"/>
        <w:jc w:val="center"/>
        <w:outlineLvl w:val="1"/>
        <w:rPr>
          <w:rFonts w:ascii="宋体" w:hAnsi="宋体" w:eastAsia="宋体" w:cs="宋体"/>
          <w:b/>
          <w:bCs/>
          <w:color w:val="auto"/>
          <w:sz w:val="44"/>
          <w:szCs w:val="44"/>
          <w:highlight w:val="none"/>
        </w:rPr>
      </w:pPr>
      <w:bookmarkStart w:id="132" w:name="_Toc21452"/>
      <w:bookmarkStart w:id="133" w:name="_Toc4716"/>
      <w:r>
        <w:rPr>
          <w:rFonts w:hint="eastAsia" w:ascii="宋体" w:hAnsi="宋体" w:eastAsia="宋体" w:cs="宋体"/>
          <w:b/>
          <w:bCs/>
          <w:color w:val="auto"/>
          <w:sz w:val="44"/>
          <w:szCs w:val="44"/>
          <w:highlight w:val="none"/>
        </w:rPr>
        <w:t>第二部分：其他响应性投标文件</w:t>
      </w:r>
      <w:bookmarkEnd w:id="132"/>
      <w:bookmarkEnd w:id="133"/>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pStyle w:val="2"/>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pPr>
        <w:spacing w:before="3" w:line="240" w:lineRule="auto"/>
        <w:ind w:left="23" w:right="13" w:firstLine="482"/>
        <w:jc w:val="center"/>
        <w:rPr>
          <w:rFonts w:ascii="宋体" w:hAnsi="宋体" w:eastAsia="宋体" w:cs="宋体"/>
          <w:b/>
          <w:bCs/>
          <w:color w:val="auto"/>
          <w:spacing w:val="18"/>
          <w:sz w:val="32"/>
          <w:szCs w:val="32"/>
          <w:highlight w:val="none"/>
        </w:rPr>
      </w:pPr>
    </w:p>
    <w:p>
      <w:pPr>
        <w:spacing w:before="3" w:line="240" w:lineRule="auto"/>
        <w:ind w:left="23" w:right="13" w:firstLine="482"/>
        <w:jc w:val="center"/>
        <w:rPr>
          <w:rFonts w:ascii="宋体" w:hAnsi="宋体" w:eastAsia="宋体" w:cs="宋体"/>
          <w:b/>
          <w:bCs/>
          <w:color w:val="auto"/>
          <w:spacing w:val="18"/>
          <w:sz w:val="32"/>
          <w:szCs w:val="32"/>
          <w:highlight w:val="none"/>
        </w:rPr>
      </w:pPr>
    </w:p>
    <w:p>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spacing w:line="240" w:lineRule="auto"/>
        <w:rPr>
          <w:color w:val="auto"/>
          <w:highlight w:val="none"/>
        </w:rPr>
      </w:pPr>
    </w:p>
    <w:p>
      <w:pPr>
        <w:pStyle w:val="2"/>
        <w:spacing w:line="240" w:lineRule="auto"/>
        <w:rPr>
          <w:color w:val="auto"/>
          <w:highlight w:val="none"/>
        </w:rPr>
      </w:pPr>
    </w:p>
    <w:p>
      <w:pPr>
        <w:spacing w:line="240" w:lineRule="auto"/>
        <w:rPr>
          <w:color w:val="auto"/>
          <w:highlight w:val="none"/>
        </w:rPr>
      </w:pPr>
    </w:p>
    <w:p>
      <w:pPr>
        <w:pStyle w:val="2"/>
        <w:spacing w:line="240" w:lineRule="auto"/>
        <w:rPr>
          <w:color w:val="auto"/>
          <w:highlight w:val="none"/>
        </w:rPr>
      </w:pPr>
    </w:p>
    <w:p>
      <w:pPr>
        <w:spacing w:line="240" w:lineRule="auto"/>
        <w:rPr>
          <w:color w:val="auto"/>
          <w:highlight w:val="none"/>
        </w:rPr>
      </w:pPr>
    </w:p>
    <w:p>
      <w:pPr>
        <w:pStyle w:val="2"/>
        <w:spacing w:line="240" w:lineRule="auto"/>
        <w:rPr>
          <w:color w:val="auto"/>
          <w:highlight w:val="none"/>
        </w:rPr>
      </w:pPr>
    </w:p>
    <w:p>
      <w:pPr>
        <w:spacing w:line="240" w:lineRule="auto"/>
        <w:rPr>
          <w:color w:val="auto"/>
          <w:highlight w:val="none"/>
        </w:rPr>
      </w:pPr>
    </w:p>
    <w:p>
      <w:pPr>
        <w:pStyle w:val="2"/>
        <w:spacing w:line="240" w:lineRule="auto"/>
        <w:rPr>
          <w:color w:val="auto"/>
          <w:highlight w:val="none"/>
        </w:rPr>
      </w:pPr>
    </w:p>
    <w:p>
      <w:pPr>
        <w:pStyle w:val="2"/>
        <w:spacing w:line="240" w:lineRule="auto"/>
        <w:rPr>
          <w:color w:val="auto"/>
          <w:highlight w:val="none"/>
        </w:rPr>
      </w:pPr>
    </w:p>
    <w:p>
      <w:pPr>
        <w:spacing w:line="240" w:lineRule="auto"/>
        <w:rPr>
          <w:color w:val="auto"/>
          <w:highlight w:val="none"/>
        </w:rPr>
        <w:sectPr>
          <w:headerReference r:id="rId15" w:type="default"/>
          <w:footerReference r:id="rId16" w:type="default"/>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34" w:name="_Toc10013"/>
      <w:bookmarkStart w:id="135" w:name="_Toc25280"/>
    </w:p>
    <w:p>
      <w:pPr>
        <w:spacing w:before="0" w:line="240" w:lineRule="auto"/>
        <w:ind w:right="0"/>
        <w:jc w:val="left"/>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 标 函 (实质性要求)</w:t>
      </w:r>
      <w:bookmarkEnd w:id="134"/>
      <w:bookmarkEnd w:id="135"/>
    </w:p>
    <w:p>
      <w:pPr>
        <w:spacing w:line="240" w:lineRule="auto"/>
        <w:ind w:left="14"/>
        <w:rPr>
          <w:rFonts w:ascii="宋体" w:hAnsi="宋体" w:eastAsia="宋体" w:cs="宋体"/>
          <w:color w:val="auto"/>
          <w:spacing w:val="6"/>
          <w:sz w:val="23"/>
          <w:szCs w:val="23"/>
          <w:highlight w:val="none"/>
        </w:rPr>
      </w:pPr>
    </w:p>
    <w:p>
      <w:pPr>
        <w:spacing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_________________</w:t>
      </w:r>
      <w:r>
        <w:rPr>
          <w:rFonts w:hint="eastAsia" w:ascii="宋体" w:hAnsi="宋体" w:eastAsia="宋体" w:cs="宋体"/>
          <w:color w:val="auto"/>
          <w:spacing w:val="6"/>
          <w:sz w:val="24"/>
          <w:szCs w:val="24"/>
          <w:highlight w:val="none"/>
        </w:rPr>
        <w:t>(招标代理机构名称)：</w:t>
      </w:r>
    </w:p>
    <w:p>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我方全面研究了“</w:t>
      </w:r>
      <w:r>
        <w:rPr>
          <w:rFonts w:ascii="宋体" w:hAnsi="宋体" w:eastAsia="宋体" w:cs="宋体"/>
          <w:color w:val="auto"/>
          <w:spacing w:val="-1"/>
          <w:sz w:val="24"/>
          <w:szCs w:val="24"/>
          <w:highlight w:val="none"/>
        </w:rPr>
        <w:t xml:space="preserve">_________________ </w:t>
      </w:r>
      <w:r>
        <w:rPr>
          <w:rFonts w:hint="eastAsia" w:ascii="宋体" w:hAnsi="宋体" w:eastAsia="宋体" w:cs="宋体"/>
          <w:color w:val="auto"/>
          <w:spacing w:val="6"/>
          <w:sz w:val="24"/>
          <w:szCs w:val="24"/>
          <w:highlight w:val="none"/>
        </w:rPr>
        <w:t>”项目(招标编号：</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)招标文件，决定参加贵单位组织的本项目投标。我方授权</w:t>
      </w:r>
      <w:r>
        <w:rPr>
          <w:rFonts w:ascii="宋体" w:hAnsi="宋体" w:eastAsia="宋体" w:cs="宋体"/>
          <w:color w:val="auto"/>
          <w:spacing w:val="3"/>
          <w:sz w:val="24"/>
          <w:szCs w:val="24"/>
          <w:highlight w:val="none"/>
        </w:rPr>
        <w:t xml:space="preserve">_________________ </w:t>
      </w:r>
      <w:r>
        <w:rPr>
          <w:rFonts w:hint="eastAsia" w:ascii="宋体" w:hAnsi="宋体" w:eastAsia="宋体" w:cs="宋体"/>
          <w:color w:val="auto"/>
          <w:spacing w:val="6"/>
          <w:sz w:val="24"/>
          <w:szCs w:val="24"/>
          <w:highlight w:val="none"/>
        </w:rPr>
        <w:t>(姓名、职务) 代表我方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(投标单位的名称)全权处理本项目投标的有关事宜。</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一、我方自愿按照招标文件规定的各项要求向招标人提供所需服务，</w:t>
      </w:r>
      <w:r>
        <w:rPr>
          <w:rFonts w:hint="eastAsia" w:ascii="宋体" w:hAnsi="宋体" w:eastAsia="宋体" w:cs="宋体"/>
          <w:b/>
          <w:bCs/>
          <w:color w:val="auto"/>
          <w:spacing w:val="6"/>
          <w:sz w:val="24"/>
          <w:szCs w:val="24"/>
          <w:highlight w:val="none"/>
        </w:rPr>
        <w:t>投标报价以《开标一览表》为准</w:t>
      </w:r>
      <w:r>
        <w:rPr>
          <w:rFonts w:hint="eastAsia" w:ascii="宋体" w:hAnsi="宋体" w:eastAsia="宋体" w:cs="宋体"/>
          <w:color w:val="auto"/>
          <w:spacing w:val="6"/>
          <w:sz w:val="24"/>
          <w:szCs w:val="24"/>
          <w:highlight w:val="none"/>
        </w:rPr>
        <w:t>。</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二、一旦我方中标，我方将严格履行采购合同规定的责任和义务。</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三、我方为本项目提交的资格性投标文件正本1份副本2份，其他响应性投标文件正本1份副本2份，用于开标唱标的“开标一览表”一份，电子文档1份。</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四、我方已知晓全部招标文件的内容，包括修改文件（如有）以及全部相关资料和有关附件，并对上述文件均无异议。</w:t>
      </w:r>
    </w:p>
    <w:p>
      <w:pPr>
        <w:spacing w:line="240" w:lineRule="auto"/>
        <w:ind w:left="24" w:right="13" w:firstLine="471"/>
        <w:rPr>
          <w:rFonts w:ascii="宋体" w:hAnsi="宋体" w:eastAsia="宋体" w:cs="宋体"/>
          <w:color w:val="auto"/>
          <w:spacing w:val="6"/>
          <w:sz w:val="24"/>
          <w:szCs w:val="24"/>
          <w:highlight w:val="none"/>
        </w:rPr>
      </w:pPr>
      <w:bookmarkStart w:id="136" w:name="_Toc2829"/>
      <w:bookmarkStart w:id="137" w:name="_Toc1308"/>
      <w:r>
        <w:rPr>
          <w:rFonts w:hint="eastAsia" w:ascii="宋体" w:hAnsi="宋体" w:eastAsia="宋体" w:cs="宋体"/>
          <w:color w:val="auto"/>
          <w:spacing w:val="6"/>
          <w:sz w:val="24"/>
          <w:szCs w:val="24"/>
          <w:highlight w:val="none"/>
        </w:rPr>
        <w:t>五、我方同意本次招标的投标有效期为投标截止之日起90天。</w:t>
      </w:r>
      <w:bookmarkEnd w:id="136"/>
      <w:bookmarkEnd w:id="137"/>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六、我方愿意提供贵单位可能另外要求的，与投标有关的文件资料，并保证我方已提供和将要提供的文件资料是真实、准确的。</w:t>
      </w:r>
    </w:p>
    <w:p>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七、我方完全理解招标人不一定将合同授予最低报价的投标人的行为。</w:t>
      </w:r>
    </w:p>
    <w:p>
      <w:pPr>
        <w:spacing w:line="240" w:lineRule="auto"/>
        <w:rPr>
          <w:color w:val="auto"/>
          <w:sz w:val="24"/>
          <w:szCs w:val="24"/>
          <w:highlight w:val="none"/>
        </w:rPr>
      </w:pPr>
    </w:p>
    <w:p>
      <w:pPr>
        <w:spacing w:line="240" w:lineRule="auto"/>
        <w:rPr>
          <w:color w:val="auto"/>
          <w:sz w:val="24"/>
          <w:szCs w:val="24"/>
          <w:highlight w:val="none"/>
        </w:rPr>
      </w:pPr>
    </w:p>
    <w:p>
      <w:pPr>
        <w:spacing w:line="240" w:lineRule="auto"/>
        <w:rPr>
          <w:color w:val="auto"/>
          <w:sz w:val="24"/>
          <w:szCs w:val="24"/>
          <w:highlight w:val="none"/>
        </w:rPr>
      </w:pPr>
    </w:p>
    <w:p>
      <w:pPr>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(盖单位公章)</w:t>
      </w:r>
    </w:p>
    <w:p>
      <w:pPr>
        <w:spacing w:before="77" w:line="240" w:lineRule="auto"/>
        <w:ind w:left="493" w:right="410"/>
        <w:rPr>
          <w:rFonts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法定代表人/单位负责人或授权代表(签字或加盖个人名章)：</w:t>
      </w:r>
      <w:r>
        <w:rPr>
          <w:rFonts w:hint="eastAsia" w:ascii="宋体" w:hAnsi="宋体" w:eastAsia="宋体" w:cs="宋体"/>
          <w:color w:val="auto"/>
          <w:spacing w:val="6"/>
          <w:sz w:val="24"/>
          <w:szCs w:val="24"/>
          <w:highlight w:val="none"/>
          <w:u w:val="single"/>
        </w:rPr>
        <w:t xml:space="preserve">     </w:t>
      </w:r>
      <w:r>
        <w:rPr>
          <w:rFonts w:ascii="宋体" w:hAnsi="宋体" w:eastAsia="宋体" w:cs="宋体"/>
          <w:color w:val="auto"/>
          <w:spacing w:val="4"/>
          <w:sz w:val="24"/>
          <w:szCs w:val="24"/>
          <w:highlight w:val="none"/>
        </w:rPr>
        <w:t xml:space="preserve"> </w:t>
      </w:r>
    </w:p>
    <w:p>
      <w:pPr>
        <w:spacing w:before="77" w:line="240" w:lineRule="auto"/>
        <w:ind w:left="493" w:right="41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通讯地址：</w:t>
      </w:r>
      <w:r>
        <w:rPr>
          <w:rFonts w:ascii="宋体" w:hAnsi="宋体" w:eastAsia="宋体" w:cs="宋体"/>
          <w:color w:val="auto"/>
          <w:sz w:val="24"/>
          <w:szCs w:val="24"/>
          <w:highlight w:val="none"/>
          <w:u w:val="single"/>
        </w:rPr>
        <w:t xml:space="preserve">                  </w:t>
      </w:r>
    </w:p>
    <w:p>
      <w:pPr>
        <w:spacing w:before="1" w:line="240" w:lineRule="auto"/>
        <w:ind w:left="51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邮政编码</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rPr>
        <w:t xml:space="preserve">                  </w:t>
      </w:r>
    </w:p>
    <w:p>
      <w:pPr>
        <w:spacing w:before="76" w:line="240" w:lineRule="auto"/>
        <w:ind w:left="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ascii="宋体" w:hAnsi="宋体" w:eastAsia="宋体" w:cs="宋体"/>
          <w:color w:val="auto"/>
          <w:sz w:val="24"/>
          <w:szCs w:val="24"/>
          <w:highlight w:val="none"/>
          <w:u w:val="single"/>
        </w:rPr>
        <w:t xml:space="preserve">                  </w:t>
      </w:r>
    </w:p>
    <w:p>
      <w:pPr>
        <w:spacing w:before="74" w:line="240" w:lineRule="auto"/>
        <w:ind w:left="49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传    真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日    期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日</w:t>
      </w:r>
    </w:p>
    <w:p>
      <w:pPr>
        <w:spacing w:line="240" w:lineRule="auto"/>
        <w:rPr>
          <w:color w:val="auto"/>
          <w:highlight w:val="none"/>
        </w:rPr>
        <w:sectPr>
          <w:headerReference r:id="rId17" w:type="default"/>
          <w:footerReference r:id="rId18" w:type="default"/>
          <w:type w:val="continuous"/>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38" w:name="_Toc27869"/>
      <w:bookmarkStart w:id="139" w:name="_Toc3141"/>
      <w:r>
        <w:rPr>
          <w:rFonts w:hint="eastAsia" w:ascii="宋体" w:hAnsi="宋体" w:eastAsia="宋体" w:cs="宋体"/>
          <w:b/>
          <w:bCs/>
          <w:color w:val="auto"/>
          <w:sz w:val="32"/>
          <w:szCs w:val="32"/>
          <w:highlight w:val="none"/>
        </w:rPr>
        <w:t>二、开标一览表</w:t>
      </w:r>
      <w:bookmarkEnd w:id="138"/>
      <w:bookmarkEnd w:id="139"/>
    </w:p>
    <w:p>
      <w:pPr>
        <w:spacing w:before="136" w:line="240" w:lineRule="auto"/>
        <w:ind w:left="594"/>
        <w:rPr>
          <w:rFonts w:ascii="宋体" w:hAnsi="宋体" w:eastAsia="宋体" w:cs="宋体"/>
          <w:color w:val="auto"/>
          <w:spacing w:val="-2"/>
          <w:sz w:val="23"/>
          <w:szCs w:val="23"/>
          <w:highlight w:val="none"/>
        </w:rPr>
      </w:pPr>
    </w:p>
    <w:tbl>
      <w:tblPr>
        <w:tblStyle w:val="18"/>
        <w:tblW w:w="8649" w:type="dxa"/>
        <w:jc w:val="center"/>
        <w:tblLayout w:type="fixed"/>
        <w:tblCellMar>
          <w:top w:w="0" w:type="dxa"/>
          <w:left w:w="108" w:type="dxa"/>
          <w:bottom w:w="0" w:type="dxa"/>
          <w:right w:w="108" w:type="dxa"/>
        </w:tblCellMar>
      </w:tblPr>
      <w:tblGrid>
        <w:gridCol w:w="1587"/>
        <w:gridCol w:w="7062"/>
      </w:tblGrid>
      <w:tr>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p>
        </w:tc>
        <w:tc>
          <w:tcPr>
            <w:tcW w:w="7062"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w:t>
            </w:r>
          </w:p>
        </w:tc>
        <w:tc>
          <w:tcPr>
            <w:tcW w:w="7062"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CellMar>
            <w:top w:w="0" w:type="dxa"/>
            <w:left w:w="108" w:type="dxa"/>
            <w:bottom w:w="0" w:type="dxa"/>
            <w:right w:w="108" w:type="dxa"/>
          </w:tblCellMar>
        </w:tblPrEx>
        <w:trPr>
          <w:cantSplit/>
          <w:trHeight w:val="706"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投标</w:t>
            </w:r>
            <w:r>
              <w:rPr>
                <w:rFonts w:hint="eastAsia" w:ascii="宋体" w:hAnsi="宋体" w:eastAsia="宋体" w:cs="宋体"/>
                <w:color w:val="auto"/>
                <w:spacing w:val="6"/>
                <w:sz w:val="24"/>
                <w:szCs w:val="24"/>
                <w:highlight w:val="none"/>
                <w:lang w:val="en-US" w:eastAsia="zh-CN"/>
              </w:rPr>
              <w:t>报价</w:t>
            </w:r>
          </w:p>
        </w:tc>
        <w:tc>
          <w:tcPr>
            <w:tcW w:w="7062" w:type="dxa"/>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小写：         </w:t>
            </w:r>
            <w:r>
              <w:rPr>
                <w:rFonts w:hint="eastAsia" w:ascii="宋体" w:hAnsi="宋体" w:eastAsia="宋体" w:cs="宋体"/>
                <w:color w:val="auto"/>
                <w:spacing w:val="6"/>
                <w:sz w:val="24"/>
                <w:szCs w:val="24"/>
                <w:highlight w:val="none"/>
                <w:lang w:val="en-US" w:eastAsia="zh-CN"/>
              </w:rPr>
              <w:t>元/套</w:t>
            </w:r>
            <w:r>
              <w:rPr>
                <w:rFonts w:hint="eastAsia" w:ascii="宋体" w:hAnsi="宋体" w:eastAsia="宋体" w:cs="宋体"/>
                <w:color w:val="auto"/>
                <w:spacing w:val="6"/>
                <w:sz w:val="24"/>
                <w:szCs w:val="24"/>
                <w:highlight w:val="none"/>
              </w:rPr>
              <w:t xml:space="preserve">         </w:t>
            </w:r>
          </w:p>
          <w:p>
            <w:pPr>
              <w:spacing w:line="240" w:lineRule="auto"/>
              <w:ind w:right="13"/>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大写：</w:t>
            </w:r>
            <w:r>
              <w:rPr>
                <w:rFonts w:hint="eastAsia" w:ascii="宋体" w:hAnsi="宋体" w:eastAsia="宋体" w:cs="宋体"/>
                <w:color w:val="auto"/>
                <w:spacing w:val="6"/>
                <w:sz w:val="24"/>
                <w:szCs w:val="24"/>
                <w:highlight w:val="none"/>
                <w:lang w:val="en-US" w:eastAsia="zh-CN"/>
              </w:rPr>
              <w:t xml:space="preserve">               元整/套</w:t>
            </w:r>
          </w:p>
        </w:tc>
      </w:tr>
      <w:tr>
        <w:tblPrEx>
          <w:tblCellMar>
            <w:top w:w="0" w:type="dxa"/>
            <w:left w:w="108" w:type="dxa"/>
            <w:bottom w:w="0" w:type="dxa"/>
            <w:right w:w="108" w:type="dxa"/>
          </w:tblCellMar>
        </w:tblPrEx>
        <w:trPr>
          <w:cantSplit/>
          <w:trHeight w:val="676" w:hRule="atLeast"/>
          <w:jc w:val="center"/>
        </w:trPr>
        <w:tc>
          <w:tcPr>
            <w:tcW w:w="864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r>
    </w:tbl>
    <w:p>
      <w:pPr>
        <w:spacing w:line="240" w:lineRule="auto"/>
        <w:rPr>
          <w:rFonts w:ascii="宋体" w:hAnsi="宋体" w:eastAsia="宋体" w:cs="宋体"/>
          <w:color w:val="auto"/>
          <w:spacing w:val="-2"/>
          <w:sz w:val="23"/>
          <w:szCs w:val="23"/>
          <w:highlight w:val="none"/>
        </w:rPr>
      </w:pPr>
    </w:p>
    <w:p>
      <w:pPr>
        <w:pStyle w:val="2"/>
        <w:spacing w:line="240" w:lineRule="auto"/>
        <w:rPr>
          <w:rFonts w:ascii="宋体" w:hAnsi="宋体" w:eastAsia="宋体" w:cs="宋体"/>
          <w:color w:val="auto"/>
          <w:spacing w:val="-2"/>
          <w:sz w:val="23"/>
          <w:szCs w:val="23"/>
          <w:highlight w:val="none"/>
        </w:rPr>
      </w:pPr>
    </w:p>
    <w:p>
      <w:pPr>
        <w:spacing w:before="89"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注：报价应是最终招标人验收合格后的总价，包括完成本项目的一切费用。</w:t>
      </w:r>
    </w:p>
    <w:p>
      <w:pPr>
        <w:spacing w:before="76" w:line="240" w:lineRule="auto"/>
        <w:ind w:left="494" w:right="589" w:firstLine="1"/>
        <w:rPr>
          <w:rFonts w:ascii="宋体" w:hAnsi="宋体" w:eastAsia="宋体" w:cs="宋体"/>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78" w:line="240" w:lineRule="auto"/>
        <w:ind w:left="1313"/>
        <w:rPr>
          <w:rFonts w:ascii="宋体" w:hAnsi="宋体" w:eastAsia="宋体" w:cs="宋体"/>
          <w:color w:val="auto"/>
          <w:sz w:val="23"/>
          <w:szCs w:val="23"/>
          <w:highlight w:val="none"/>
        </w:rPr>
      </w:pPr>
    </w:p>
    <w:p>
      <w:pPr>
        <w:spacing w:line="240" w:lineRule="auto"/>
        <w:rPr>
          <w:rFonts w:ascii="宋体" w:hAnsi="宋体" w:eastAsia="宋体" w:cs="宋体"/>
          <w:color w:val="auto"/>
          <w:spacing w:val="-2"/>
          <w:sz w:val="23"/>
          <w:szCs w:val="23"/>
          <w:highlight w:val="none"/>
        </w:rPr>
      </w:pPr>
    </w:p>
    <w:p>
      <w:pPr>
        <w:pStyle w:val="2"/>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rFonts w:ascii="宋体" w:hAnsi="宋体" w:eastAsia="宋体" w:cs="宋体"/>
          <w:color w:val="auto"/>
          <w:spacing w:val="-2"/>
          <w:sz w:val="23"/>
          <w:szCs w:val="23"/>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sectPr>
          <w:headerReference r:id="rId19" w:type="default"/>
          <w:footerReference r:id="rId20" w:type="default"/>
          <w:pgSz w:w="11905" w:h="16838"/>
          <w:pgMar w:top="1417" w:right="1417" w:bottom="1417" w:left="1417" w:header="0" w:footer="1134" w:gutter="0"/>
          <w:cols w:space="425" w:num="1"/>
        </w:sectPr>
      </w:pPr>
      <w:r>
        <w:rPr>
          <w:color w:val="auto"/>
          <w:highlight w:val="none"/>
        </w:rPr>
        <w:br w:type="page"/>
      </w:r>
    </w:p>
    <w:p>
      <w:pPr>
        <w:spacing w:before="3" w:line="240" w:lineRule="auto"/>
        <w:ind w:right="13"/>
        <w:jc w:val="center"/>
        <w:outlineLvl w:val="9"/>
        <w:rPr>
          <w:rFonts w:hint="eastAsia" w:ascii="宋体" w:hAnsi="宋体" w:eastAsia="宋体" w:cs="宋体"/>
          <w:b/>
          <w:bCs/>
          <w:color w:val="auto"/>
          <w:sz w:val="32"/>
          <w:szCs w:val="32"/>
          <w:highlight w:val="none"/>
          <w:lang w:eastAsia="zh-CN"/>
        </w:rPr>
      </w:pPr>
      <w:bookmarkStart w:id="140" w:name="_Toc4952"/>
      <w:bookmarkStart w:id="141" w:name="_Toc2115"/>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、中小企业声明函/监狱企业相关证明材料/残疾人福利性 单位声明函</w:t>
      </w:r>
    </w:p>
    <w:p>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-1 中小企业声明函（货物类）</w:t>
      </w:r>
    </w:p>
    <w:p>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中小企业声明函（货物） 本公司（联合体）郑重声明，根据《政府采购促进中小 企业发展管理办法》（财库﹝2020﹞46 号）的规定，本公司 （联合体）参加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 型企业、微型企业）</w:t>
      </w:r>
      <w:r>
        <w:rPr>
          <w:rFonts w:ascii="宋体" w:hAnsi="宋体" w:eastAsia="宋体" w:cs="宋体"/>
          <w:color w:val="auto"/>
          <w:sz w:val="24"/>
          <w:szCs w:val="24"/>
          <w:highlight w:val="none"/>
        </w:rPr>
        <w:t xml:space="preserve">； </w:t>
      </w:r>
    </w:p>
    <w:p>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 xml:space="preserve"> 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 企业、微型企业）</w:t>
      </w:r>
      <w:r>
        <w:rPr>
          <w:rFonts w:ascii="宋体" w:hAnsi="宋体" w:eastAsia="宋体" w:cs="宋体"/>
          <w:color w:val="auto"/>
          <w:sz w:val="24"/>
          <w:szCs w:val="24"/>
          <w:highlight w:val="none"/>
        </w:rPr>
        <w:t xml:space="preserve">； </w:t>
      </w:r>
    </w:p>
    <w:p>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spacing w:line="240" w:lineRule="auto"/>
        <w:ind w:firstLine="480" w:firstLineChars="200"/>
        <w:rPr>
          <w:color w:val="auto"/>
          <w:highlight w:val="none"/>
        </w:rPr>
      </w:pPr>
      <w:r>
        <w:rPr>
          <w:rFonts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 本企业对上述声明内容的真实性负责。如有虚假，将依法承担相应责任。</w:t>
      </w: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pPr>
    </w:p>
    <w:p>
      <w:pPr>
        <w:spacing w:before="3" w:line="240" w:lineRule="auto"/>
        <w:ind w:left="23" w:right="13" w:firstLine="482"/>
        <w:rPr>
          <w:rFonts w:ascii="宋体" w:hAnsi="宋体" w:eastAsia="宋体" w:cs="宋体"/>
          <w:b/>
          <w:bCs/>
          <w:color w:val="auto"/>
          <w:sz w:val="23"/>
          <w:szCs w:val="23"/>
          <w:highlight w:val="none"/>
        </w:rPr>
      </w:pPr>
    </w:p>
    <w:p>
      <w:pPr>
        <w:spacing w:before="3" w:line="240" w:lineRule="auto"/>
        <w:ind w:left="23" w:right="13" w:firstLine="482"/>
        <w:rPr>
          <w:rFonts w:ascii="宋体" w:hAnsi="宋体" w:eastAsia="宋体" w:cs="宋体"/>
          <w:b/>
          <w:bCs/>
          <w:color w:val="auto"/>
          <w:sz w:val="23"/>
          <w:szCs w:val="23"/>
          <w:highlight w:val="none"/>
        </w:rPr>
      </w:pPr>
    </w:p>
    <w:p>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注：1.从业人员、营业收入、资产总额填报上一年度数据，无上一年度数据的新成立企业可不填报。</w:t>
      </w:r>
    </w:p>
    <w:p>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2.本项目标的名称、所属行业详见第二章投标人须知附表。</w:t>
      </w:r>
    </w:p>
    <w:p>
      <w:pPr>
        <w:spacing w:line="240" w:lineRule="auto"/>
        <w:rPr>
          <w:color w:val="auto"/>
          <w:highlight w:val="none"/>
        </w:rPr>
        <w:sectPr>
          <w:headerReference r:id="rId21" w:type="default"/>
          <w:footerReference r:id="rId22" w:type="default"/>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-2 监狱企业相关证明材料</w:t>
      </w:r>
    </w:p>
    <w:p>
      <w:pPr>
        <w:spacing w:line="240" w:lineRule="auto"/>
        <w:ind w:left="23" w:firstLine="482"/>
        <w:rPr>
          <w:rFonts w:ascii="宋体" w:hAnsi="宋体" w:eastAsia="宋体" w:cs="宋体"/>
          <w:color w:val="auto"/>
          <w:sz w:val="23"/>
          <w:szCs w:val="23"/>
          <w:highlight w:val="none"/>
        </w:rPr>
      </w:pPr>
    </w:p>
    <w:p>
      <w:pPr>
        <w:spacing w:line="240" w:lineRule="auto"/>
        <w:ind w:left="23" w:firstLine="482"/>
        <w:rPr>
          <w:rFonts w:ascii="宋体" w:hAnsi="宋体" w:eastAsia="宋体" w:cs="宋体"/>
          <w:color w:val="auto"/>
          <w:sz w:val="23"/>
          <w:szCs w:val="23"/>
          <w:highlight w:val="none"/>
        </w:rPr>
      </w:pPr>
    </w:p>
    <w:p>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司法部关于政府采购支持监狱企业发展有关问题的通知》财库〔2014〕68号文的规定，监狱企业参加采购活动时，应当提供由省级以上监狱管理局、戒毒管理局（含新疆生产建设兵团）出具的属于监狱企业的证明文件。</w:t>
      </w:r>
    </w:p>
    <w:p>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在采购活动中，监狱企业视同小型、微型企业，享受预留份额、评审中价格扣除等政府采购促进中小企业发展的政府采购政策。</w:t>
      </w:r>
    </w:p>
    <w:p>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3.如未提供监狱企业相关证明材料的，则不能享受采购文件规定的价格扣除，但不影响供应商文件的有效性。</w:t>
      </w:r>
    </w:p>
    <w:p>
      <w:pPr>
        <w:spacing w:line="240" w:lineRule="auto"/>
        <w:ind w:left="2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4.非监狱企业参加本次采购活动，无需提供本证明材料。</w:t>
      </w:r>
    </w:p>
    <w:p>
      <w:pPr>
        <w:spacing w:line="240" w:lineRule="auto"/>
        <w:rPr>
          <w:color w:val="auto"/>
          <w:highlight w:val="none"/>
        </w:rPr>
        <w:sectPr>
          <w:headerReference r:id="rId23" w:type="default"/>
          <w:footerReference r:id="rId24" w:type="default"/>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-3 残疾人福利性单位声明函</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240" w:lineRule="auto"/>
        <w:ind w:left="23" w:firstLine="482"/>
        <w:jc w:val="right"/>
        <w:rPr>
          <w:rFonts w:ascii="宋体" w:hAnsi="宋体" w:eastAsia="宋体" w:cs="宋体"/>
          <w:color w:val="auto"/>
          <w:sz w:val="23"/>
          <w:szCs w:val="23"/>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pPr>
        <w:spacing w:line="240" w:lineRule="auto"/>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40" w:lineRule="auto"/>
        <w:rPr>
          <w:color w:val="auto"/>
          <w:highlight w:val="none"/>
        </w:rPr>
        <w:sectPr>
          <w:headerReference r:id="rId25" w:type="default"/>
          <w:footerReference r:id="rId26" w:type="default"/>
          <w:pgSz w:w="11905" w:h="16838"/>
          <w:pgMar w:top="1417" w:right="1417" w:bottom="1417" w:left="1417" w:header="0" w:footer="1134" w:gutter="0"/>
          <w:cols w:space="425" w:num="1"/>
        </w:sectPr>
      </w:pPr>
    </w:p>
    <w:p>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、商务应答表</w:t>
      </w:r>
      <w:bookmarkEnd w:id="140"/>
      <w:bookmarkEnd w:id="141"/>
    </w:p>
    <w:p>
      <w:pPr>
        <w:spacing w:line="240" w:lineRule="auto"/>
        <w:rPr>
          <w:color w:val="auto"/>
          <w:highlight w:val="none"/>
        </w:rPr>
      </w:pPr>
    </w:p>
    <w:p>
      <w:pPr>
        <w:spacing w:before="75" w:line="240" w:lineRule="auto"/>
        <w:rPr>
          <w:rFonts w:ascii="宋体" w:hAnsi="宋体" w:eastAsia="宋体" w:cs="宋体"/>
          <w:color w:val="auto"/>
          <w:sz w:val="23"/>
          <w:szCs w:val="23"/>
          <w:highlight w:val="none"/>
          <w:u w:val="singl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3"/>
          <w:szCs w:val="23"/>
          <w:highlight w:val="none"/>
        </w:rPr>
        <w:t xml:space="preserve">  </w:t>
      </w:r>
    </w:p>
    <w:tbl>
      <w:tblPr>
        <w:tblStyle w:val="23"/>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bl>
    <w:p>
      <w:pPr>
        <w:spacing w:before="75" w:line="240" w:lineRule="auto"/>
        <w:ind w:left="493"/>
        <w:rPr>
          <w:rFonts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注：供应商的投标应答如和第六章全部商务要求没有偏离可以不予填写（视为完全响应），如有任何正负偏离请于明确此表格。</w:t>
      </w:r>
    </w:p>
    <w:p>
      <w:pPr>
        <w:spacing w:line="240" w:lineRule="auto"/>
        <w:rPr>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sectPr>
          <w:headerReference r:id="rId27" w:type="default"/>
          <w:footerReference r:id="rId28" w:type="default"/>
          <w:pgSz w:w="11905" w:h="16838"/>
          <w:pgMar w:top="1417" w:right="1417" w:bottom="1417" w:left="1417" w:header="0" w:footer="1134" w:gutter="0"/>
          <w:cols w:space="0" w:num="1"/>
        </w:sectPr>
      </w:pPr>
    </w:p>
    <w:p>
      <w:pPr>
        <w:spacing w:line="240" w:lineRule="auto"/>
        <w:rPr>
          <w:color w:val="auto"/>
          <w:sz w:val="2"/>
          <w:highlight w:val="none"/>
        </w:rPr>
      </w:pPr>
      <w:r>
        <w:rPr>
          <w:color w:val="auto"/>
          <w:sz w:val="2"/>
          <w:szCs w:val="2"/>
          <w:highlight w:val="none"/>
        </w:rPr>
        <w:br w:type="column"/>
      </w:r>
    </w:p>
    <w:p>
      <w:pPr>
        <w:spacing w:before="3" w:line="240" w:lineRule="auto"/>
        <w:ind w:right="13"/>
        <w:jc w:val="center"/>
        <w:outlineLvl w:val="9"/>
        <w:rPr>
          <w:rFonts w:ascii="宋体" w:hAnsi="宋体" w:eastAsia="宋体" w:cs="宋体"/>
          <w:b/>
          <w:bCs/>
          <w:color w:val="auto"/>
          <w:sz w:val="32"/>
          <w:szCs w:val="32"/>
          <w:highlight w:val="none"/>
        </w:rPr>
      </w:pPr>
      <w:bookmarkStart w:id="142" w:name="_Toc11418"/>
      <w:bookmarkStart w:id="143" w:name="_Toc5386"/>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、投标人基本情况表</w:t>
      </w:r>
      <w:bookmarkEnd w:id="142"/>
      <w:bookmarkEnd w:id="143"/>
    </w:p>
    <w:p>
      <w:pPr>
        <w:spacing w:line="240" w:lineRule="auto"/>
        <w:rPr>
          <w:color w:val="auto"/>
          <w:highlight w:val="none"/>
        </w:rPr>
      </w:pPr>
    </w:p>
    <w:tbl>
      <w:tblPr>
        <w:tblStyle w:val="23"/>
        <w:tblW w:w="8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952"/>
        <w:gridCol w:w="1233"/>
        <w:gridCol w:w="1241"/>
        <w:gridCol w:w="1314"/>
        <w:gridCol w:w="157"/>
        <w:gridCol w:w="689"/>
        <w:gridCol w:w="10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投标人名称</w:t>
            </w:r>
          </w:p>
        </w:tc>
        <w:tc>
          <w:tcPr>
            <w:tcW w:w="6682" w:type="dxa"/>
            <w:gridSpan w:val="7"/>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注册地址</w:t>
            </w:r>
          </w:p>
        </w:tc>
        <w:tc>
          <w:tcPr>
            <w:tcW w:w="3426" w:type="dxa"/>
            <w:gridSpan w:val="3"/>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邮政编码</w:t>
            </w:r>
          </w:p>
        </w:tc>
        <w:tc>
          <w:tcPr>
            <w:tcW w:w="1942" w:type="dxa"/>
            <w:gridSpan w:val="3"/>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vMerge w:val="restart"/>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联系方式</w:t>
            </w:r>
          </w:p>
        </w:tc>
        <w:tc>
          <w:tcPr>
            <w:tcW w:w="952"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联系人</w:t>
            </w:r>
          </w:p>
        </w:tc>
        <w:tc>
          <w:tcPr>
            <w:tcW w:w="2474"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942" w:type="dxa"/>
            <w:gridSpan w:val="3"/>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36" w:type="dxa"/>
            <w:vMerge w:val="continue"/>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952"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2474"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网址</w:t>
            </w:r>
          </w:p>
        </w:tc>
        <w:tc>
          <w:tcPr>
            <w:tcW w:w="1942" w:type="dxa"/>
            <w:gridSpan w:val="3"/>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组织结构</w:t>
            </w:r>
          </w:p>
        </w:tc>
        <w:tc>
          <w:tcPr>
            <w:tcW w:w="6682" w:type="dxa"/>
            <w:gridSpan w:val="7"/>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w:t>
            </w: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(负责人)</w:t>
            </w:r>
          </w:p>
        </w:tc>
        <w:tc>
          <w:tcPr>
            <w:tcW w:w="952"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技术负责人</w:t>
            </w:r>
          </w:p>
        </w:tc>
        <w:tc>
          <w:tcPr>
            <w:tcW w:w="952"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成立时间</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4497" w:type="dxa"/>
            <w:gridSpan w:val="5"/>
            <w:tcBorders>
              <w:tl2br w:val="nil"/>
              <w:tr2bl w:val="nil"/>
            </w:tcBorders>
            <w:vAlign w:val="center"/>
          </w:tcPr>
          <w:p>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企业资质等</w:t>
            </w: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级</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vMerge w:val="restart"/>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其中</w:t>
            </w:r>
          </w:p>
        </w:tc>
        <w:tc>
          <w:tcPr>
            <w:tcW w:w="1471"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项目经理</w:t>
            </w:r>
          </w:p>
        </w:tc>
        <w:tc>
          <w:tcPr>
            <w:tcW w:w="17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营业执照号</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高级职称人</w:t>
            </w: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注册资金</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中级职称人</w:t>
            </w: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初级职称人 员</w:t>
            </w:r>
          </w:p>
        </w:tc>
        <w:tc>
          <w:tcPr>
            <w:tcW w:w="17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c>
          <w:tcPr>
            <w:tcW w:w="21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技工</w:t>
            </w:r>
          </w:p>
        </w:tc>
        <w:tc>
          <w:tcPr>
            <w:tcW w:w="1785" w:type="dxa"/>
            <w:gridSpan w:val="2"/>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p>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经营范围</w:t>
            </w:r>
          </w:p>
        </w:tc>
        <w:tc>
          <w:tcPr>
            <w:tcW w:w="6682" w:type="dxa"/>
            <w:gridSpan w:val="7"/>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36" w:type="dxa"/>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c>
          <w:tcPr>
            <w:tcW w:w="6682" w:type="dxa"/>
            <w:gridSpan w:val="7"/>
            <w:tcBorders>
              <w:tl2br w:val="nil"/>
              <w:tr2bl w:val="nil"/>
            </w:tcBorders>
            <w:vAlign w:val="center"/>
          </w:tcPr>
          <w:p>
            <w:pPr>
              <w:spacing w:line="240" w:lineRule="auto"/>
              <w:ind w:right="13"/>
              <w:jc w:val="center"/>
              <w:rPr>
                <w:rFonts w:ascii="宋体" w:hAnsi="宋体" w:eastAsia="宋体" w:cs="宋体"/>
                <w:color w:val="auto"/>
                <w:spacing w:val="6"/>
                <w:sz w:val="24"/>
                <w:szCs w:val="24"/>
                <w:highlight w:val="none"/>
              </w:rPr>
            </w:pPr>
          </w:p>
        </w:tc>
      </w:tr>
    </w:tbl>
    <w:p>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 xml:space="preserve">注：此表格中需要填写的若无涉及可不填写此项或“/”。 </w:t>
      </w:r>
    </w:p>
    <w:p>
      <w:pPr>
        <w:spacing w:before="76" w:line="240" w:lineRule="auto"/>
        <w:ind w:left="494" w:right="589" w:firstLine="1"/>
        <w:rPr>
          <w:rFonts w:ascii="宋体" w:hAnsi="宋体" w:eastAsia="宋体" w:cs="宋体"/>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0" w:line="240" w:lineRule="auto"/>
        <w:ind w:left="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br w:type="page"/>
      </w:r>
    </w:p>
    <w:p>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、投标人类似项目业绩一览表</w:t>
      </w:r>
    </w:p>
    <w:p>
      <w:pPr>
        <w:spacing w:line="240" w:lineRule="auto"/>
        <w:rPr>
          <w:color w:val="auto"/>
          <w:highlight w:val="none"/>
        </w:rPr>
      </w:pPr>
    </w:p>
    <w:p>
      <w:pPr>
        <w:spacing w:line="240" w:lineRule="auto"/>
        <w:rPr>
          <w:color w:val="auto"/>
          <w:highlight w:val="none"/>
        </w:rPr>
      </w:pPr>
    </w:p>
    <w:tbl>
      <w:tblPr>
        <w:tblStyle w:val="23"/>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19"/>
        <w:gridCol w:w="20"/>
        <w:gridCol w:w="1300"/>
        <w:gridCol w:w="20"/>
        <w:gridCol w:w="1161"/>
        <w:gridCol w:w="1265"/>
        <w:gridCol w:w="1912"/>
        <w:gridCol w:w="7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724" w:type="dxa"/>
            <w:tcBorders>
              <w:righ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年份</w:t>
            </w:r>
          </w:p>
        </w:tc>
        <w:tc>
          <w:tcPr>
            <w:tcW w:w="1419" w:type="dxa"/>
            <w:tcBorders>
              <w:left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用户名称</w:t>
            </w:r>
          </w:p>
        </w:tc>
        <w:tc>
          <w:tcPr>
            <w:tcW w:w="1320" w:type="dxa"/>
            <w:gridSpan w:val="2"/>
            <w:tcBorders>
              <w:left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项目名称</w:t>
            </w:r>
          </w:p>
        </w:tc>
        <w:tc>
          <w:tcPr>
            <w:tcW w:w="1181" w:type="dxa"/>
            <w:gridSpan w:val="2"/>
            <w:tcBorders>
              <w:left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完成时间</w:t>
            </w:r>
          </w:p>
        </w:tc>
        <w:tc>
          <w:tcPr>
            <w:tcW w:w="1265" w:type="dxa"/>
            <w:tcBorders>
              <w:left w:val="single" w:color="000000" w:sz="4" w:space="0"/>
              <w:righ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合同金额</w:t>
            </w:r>
          </w:p>
        </w:tc>
        <w:tc>
          <w:tcPr>
            <w:tcW w:w="1912" w:type="dxa"/>
            <w:tcBorders>
              <w:left w:val="single" w:color="000000" w:sz="4" w:space="0"/>
            </w:tcBorders>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是否通过验收</w:t>
            </w:r>
          </w:p>
        </w:tc>
        <w:tc>
          <w:tcPr>
            <w:tcW w:w="760" w:type="dxa"/>
            <w:vAlign w:val="center"/>
          </w:tcPr>
          <w:p>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right w:val="single" w:color="000000" w:sz="4" w:space="0"/>
            </w:tcBorders>
          </w:tcPr>
          <w:p>
            <w:pPr>
              <w:spacing w:line="240" w:lineRule="auto"/>
              <w:rPr>
                <w:color w:val="auto"/>
                <w:highlight w:val="none"/>
              </w:rPr>
            </w:pPr>
          </w:p>
        </w:tc>
        <w:tc>
          <w:tcPr>
            <w:tcW w:w="1912" w:type="dxa"/>
            <w:tcBorders>
              <w:left w:val="single" w:color="000000" w:sz="4" w:space="0"/>
            </w:tcBorders>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right w:val="single" w:color="000000" w:sz="4" w:space="0"/>
            </w:tcBorders>
          </w:tcPr>
          <w:p>
            <w:pPr>
              <w:spacing w:line="240" w:lineRule="auto"/>
              <w:rPr>
                <w:color w:val="auto"/>
                <w:highlight w:val="none"/>
              </w:rPr>
            </w:pPr>
          </w:p>
        </w:tc>
        <w:tc>
          <w:tcPr>
            <w:tcW w:w="1912" w:type="dxa"/>
            <w:tcBorders>
              <w:left w:val="single" w:color="000000" w:sz="4" w:space="0"/>
            </w:tcBorders>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right w:val="single" w:color="000000" w:sz="4" w:space="0"/>
            </w:tcBorders>
          </w:tcPr>
          <w:p>
            <w:pPr>
              <w:spacing w:line="240" w:lineRule="auto"/>
              <w:rPr>
                <w:color w:val="auto"/>
                <w:highlight w:val="none"/>
              </w:rPr>
            </w:pPr>
          </w:p>
        </w:tc>
        <w:tc>
          <w:tcPr>
            <w:tcW w:w="1912" w:type="dxa"/>
            <w:tcBorders>
              <w:left w:val="single" w:color="000000" w:sz="4" w:space="0"/>
            </w:tcBorders>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39" w:type="dxa"/>
            <w:gridSpan w:val="2"/>
            <w:tcBorders>
              <w:left w:val="single" w:color="000000" w:sz="4" w:space="0"/>
            </w:tcBorders>
          </w:tcPr>
          <w:p>
            <w:pPr>
              <w:spacing w:line="240" w:lineRule="auto"/>
              <w:rPr>
                <w:color w:val="auto"/>
                <w:highlight w:val="none"/>
              </w:rPr>
            </w:pPr>
          </w:p>
        </w:tc>
        <w:tc>
          <w:tcPr>
            <w:tcW w:w="1300" w:type="dxa"/>
            <w:tcBorders>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right w:val="single" w:color="000000" w:sz="4" w:space="0"/>
            </w:tcBorders>
          </w:tcPr>
          <w:p>
            <w:pPr>
              <w:spacing w:line="240" w:lineRule="auto"/>
              <w:rPr>
                <w:color w:val="auto"/>
                <w:highlight w:val="none"/>
              </w:rPr>
            </w:pPr>
          </w:p>
        </w:tc>
        <w:tc>
          <w:tcPr>
            <w:tcW w:w="1912" w:type="dxa"/>
            <w:tcBorders>
              <w:left w:val="single" w:color="000000" w:sz="4" w:space="0"/>
            </w:tcBorders>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Pr>
          <w:p>
            <w:pPr>
              <w:spacing w:line="240" w:lineRule="auto"/>
              <w:rPr>
                <w:color w:val="auto"/>
                <w:highlight w:val="none"/>
              </w:rPr>
            </w:pPr>
          </w:p>
        </w:tc>
        <w:tc>
          <w:tcPr>
            <w:tcW w:w="1439" w:type="dxa"/>
            <w:gridSpan w:val="2"/>
          </w:tcPr>
          <w:p>
            <w:pPr>
              <w:spacing w:line="240" w:lineRule="auto"/>
              <w:rPr>
                <w:color w:val="auto"/>
                <w:highlight w:val="none"/>
              </w:rPr>
            </w:pPr>
          </w:p>
        </w:tc>
        <w:tc>
          <w:tcPr>
            <w:tcW w:w="1320" w:type="dxa"/>
            <w:gridSpan w:val="2"/>
          </w:tcPr>
          <w:p>
            <w:pPr>
              <w:spacing w:line="240" w:lineRule="auto"/>
              <w:rPr>
                <w:color w:val="auto"/>
                <w:highlight w:val="none"/>
              </w:rPr>
            </w:pPr>
          </w:p>
        </w:tc>
        <w:tc>
          <w:tcPr>
            <w:tcW w:w="1161" w:type="dxa"/>
          </w:tcPr>
          <w:p>
            <w:pPr>
              <w:spacing w:line="240" w:lineRule="auto"/>
              <w:rPr>
                <w:color w:val="auto"/>
                <w:highlight w:val="none"/>
              </w:rPr>
            </w:pPr>
          </w:p>
        </w:tc>
        <w:tc>
          <w:tcPr>
            <w:tcW w:w="1265" w:type="dxa"/>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24" w:type="dxa"/>
            <w:tcBorders>
              <w:right w:val="single" w:color="000000" w:sz="4" w:space="0"/>
            </w:tcBorders>
          </w:tcPr>
          <w:p>
            <w:pPr>
              <w:spacing w:line="240" w:lineRule="auto"/>
              <w:rPr>
                <w:color w:val="auto"/>
                <w:highlight w:val="none"/>
              </w:rPr>
            </w:pPr>
          </w:p>
        </w:tc>
        <w:tc>
          <w:tcPr>
            <w:tcW w:w="1419" w:type="dxa"/>
            <w:tcBorders>
              <w:left w:val="single" w:color="000000" w:sz="4" w:space="0"/>
              <w:right w:val="single" w:color="000000" w:sz="4" w:space="0"/>
            </w:tcBorders>
          </w:tcPr>
          <w:p>
            <w:pPr>
              <w:spacing w:line="240" w:lineRule="auto"/>
              <w:rPr>
                <w:color w:val="auto"/>
                <w:highlight w:val="none"/>
              </w:rPr>
            </w:pPr>
          </w:p>
        </w:tc>
        <w:tc>
          <w:tcPr>
            <w:tcW w:w="1320" w:type="dxa"/>
            <w:gridSpan w:val="2"/>
            <w:tcBorders>
              <w:left w:val="single" w:color="000000" w:sz="4" w:space="0"/>
              <w:right w:val="single" w:color="000000" w:sz="4" w:space="0"/>
            </w:tcBorders>
          </w:tcPr>
          <w:p>
            <w:pPr>
              <w:spacing w:line="240" w:lineRule="auto"/>
              <w:rPr>
                <w:color w:val="auto"/>
                <w:highlight w:val="none"/>
              </w:rPr>
            </w:pPr>
          </w:p>
        </w:tc>
        <w:tc>
          <w:tcPr>
            <w:tcW w:w="1181" w:type="dxa"/>
            <w:gridSpan w:val="2"/>
            <w:tcBorders>
              <w:left w:val="single" w:color="000000" w:sz="4" w:space="0"/>
              <w:right w:val="single" w:color="000000" w:sz="4" w:space="0"/>
            </w:tcBorders>
          </w:tcPr>
          <w:p>
            <w:pPr>
              <w:spacing w:line="240" w:lineRule="auto"/>
              <w:rPr>
                <w:color w:val="auto"/>
                <w:highlight w:val="none"/>
              </w:rPr>
            </w:pPr>
          </w:p>
        </w:tc>
        <w:tc>
          <w:tcPr>
            <w:tcW w:w="1265" w:type="dxa"/>
            <w:tcBorders>
              <w:left w:val="single" w:color="000000" w:sz="4" w:space="0"/>
            </w:tcBorders>
          </w:tcPr>
          <w:p>
            <w:pPr>
              <w:spacing w:line="240" w:lineRule="auto"/>
              <w:rPr>
                <w:color w:val="auto"/>
                <w:highlight w:val="none"/>
              </w:rPr>
            </w:pPr>
          </w:p>
        </w:tc>
        <w:tc>
          <w:tcPr>
            <w:tcW w:w="1912" w:type="dxa"/>
          </w:tcPr>
          <w:p>
            <w:pPr>
              <w:spacing w:line="240" w:lineRule="auto"/>
              <w:rPr>
                <w:color w:val="auto"/>
                <w:highlight w:val="none"/>
              </w:rPr>
            </w:pPr>
          </w:p>
        </w:tc>
        <w:tc>
          <w:tcPr>
            <w:tcW w:w="760" w:type="dxa"/>
          </w:tcPr>
          <w:p>
            <w:pPr>
              <w:spacing w:line="240" w:lineRule="auto"/>
              <w:rPr>
                <w:color w:val="auto"/>
                <w:highlight w:val="none"/>
              </w:rPr>
            </w:pPr>
          </w:p>
        </w:tc>
      </w:tr>
    </w:tbl>
    <w:p>
      <w:pPr>
        <w:spacing w:line="240" w:lineRule="auto"/>
        <w:rPr>
          <w:color w:val="auto"/>
          <w:highlight w:val="none"/>
        </w:rPr>
      </w:pPr>
    </w:p>
    <w:p>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注：以上业绩需提供有关书面证明材料。</w:t>
      </w:r>
    </w:p>
    <w:p>
      <w:pPr>
        <w:spacing w:line="240" w:lineRule="auto"/>
        <w:rPr>
          <w:color w:val="auto"/>
          <w:sz w:val="24"/>
          <w:szCs w:val="24"/>
          <w:highlight w:val="none"/>
        </w:rPr>
      </w:pPr>
    </w:p>
    <w:p>
      <w:pPr>
        <w:spacing w:line="240" w:lineRule="auto"/>
        <w:rPr>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sectPr>
          <w:headerReference r:id="rId29" w:type="default"/>
          <w:footerReference r:id="rId30" w:type="default"/>
          <w:type w:val="continuous"/>
          <w:pgSz w:w="11905" w:h="16838"/>
          <w:pgMar w:top="1417" w:right="1417" w:bottom="1417" w:left="1417" w:header="0" w:footer="1134" w:gutter="0"/>
          <w:cols w:space="0"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44" w:name="_Toc18877"/>
      <w:bookmarkStart w:id="145" w:name="_Toc5419"/>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、技术</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应答表</w:t>
      </w:r>
      <w:bookmarkEnd w:id="144"/>
      <w:bookmarkEnd w:id="145"/>
    </w:p>
    <w:p>
      <w:pPr>
        <w:spacing w:line="240" w:lineRule="auto"/>
        <w:rPr>
          <w:color w:val="auto"/>
          <w:highlight w:val="none"/>
        </w:rPr>
      </w:pPr>
    </w:p>
    <w:tbl>
      <w:tblPr>
        <w:tblStyle w:val="23"/>
        <w:tblpPr w:leftFromText="180" w:rightFromText="180" w:vertAnchor="text" w:horzAnchor="page" w:tblpX="1411" w:tblpY="258"/>
        <w:tblOverlap w:val="never"/>
        <w:tblW w:w="86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pPr>
              <w:spacing w:line="240" w:lineRule="auto"/>
              <w:rPr>
                <w:color w:val="auto"/>
                <w:sz w:val="24"/>
                <w:szCs w:val="24"/>
                <w:highlight w:val="none"/>
              </w:rPr>
            </w:pPr>
          </w:p>
        </w:tc>
        <w:tc>
          <w:tcPr>
            <w:tcW w:w="2049" w:type="dxa"/>
          </w:tcPr>
          <w:p>
            <w:pPr>
              <w:spacing w:line="240" w:lineRule="auto"/>
              <w:rPr>
                <w:color w:val="auto"/>
                <w:sz w:val="24"/>
                <w:szCs w:val="24"/>
                <w:highlight w:val="none"/>
              </w:rPr>
            </w:pPr>
          </w:p>
        </w:tc>
        <w:tc>
          <w:tcPr>
            <w:tcW w:w="2859" w:type="dxa"/>
          </w:tcPr>
          <w:p>
            <w:pPr>
              <w:spacing w:line="240" w:lineRule="auto"/>
              <w:rPr>
                <w:color w:val="auto"/>
                <w:sz w:val="24"/>
                <w:szCs w:val="24"/>
                <w:highlight w:val="none"/>
              </w:rPr>
            </w:pPr>
          </w:p>
        </w:tc>
        <w:tc>
          <w:tcPr>
            <w:tcW w:w="2979" w:type="dxa"/>
          </w:tcPr>
          <w:p>
            <w:pPr>
              <w:spacing w:line="240" w:lineRule="auto"/>
              <w:rPr>
                <w:color w:val="auto"/>
                <w:sz w:val="24"/>
                <w:szCs w:val="24"/>
                <w:highlight w:val="none"/>
              </w:rPr>
            </w:pPr>
          </w:p>
        </w:tc>
      </w:tr>
    </w:tbl>
    <w:p>
      <w:pPr>
        <w:spacing w:before="75" w:line="240" w:lineRule="auto"/>
        <w:ind w:left="64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240" w:lineRule="auto"/>
        <w:ind w:right="13"/>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注：供应商的投标应答如和第六章除商务要求以外的部分没有偏离可以不予填写（视为完全响应），如有任何正负偏离请于明确此表格。</w:t>
      </w:r>
    </w:p>
    <w:p>
      <w:pPr>
        <w:spacing w:line="240" w:lineRule="auto"/>
        <w:rPr>
          <w:color w:val="auto"/>
          <w:sz w:val="24"/>
          <w:szCs w:val="24"/>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sectPr>
          <w:headerReference r:id="rId31" w:type="default"/>
          <w:footerReference r:id="rId32" w:type="default"/>
          <w:pgSz w:w="11905" w:h="16838"/>
          <w:pgMar w:top="1417" w:right="1417" w:bottom="1417" w:left="1417" w:header="0" w:footer="1134" w:gutter="0"/>
          <w:cols w:space="0" w:num="1"/>
        </w:sectPr>
      </w:pPr>
    </w:p>
    <w:p>
      <w:pPr>
        <w:spacing w:before="3" w:line="240" w:lineRule="auto"/>
        <w:ind w:right="13"/>
        <w:jc w:val="center"/>
        <w:outlineLvl w:val="9"/>
        <w:rPr>
          <w:rFonts w:ascii="宋体" w:hAnsi="宋体" w:eastAsia="宋体" w:cs="宋体"/>
          <w:b/>
          <w:bCs/>
          <w:color w:val="auto"/>
          <w:sz w:val="32"/>
          <w:szCs w:val="32"/>
          <w:highlight w:val="none"/>
        </w:rPr>
      </w:pPr>
      <w:bookmarkStart w:id="146" w:name="_Toc16062"/>
      <w:bookmarkStart w:id="147" w:name="_Toc884"/>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、投标人本项目管理、技术、服务人员情况表</w:t>
      </w:r>
      <w:bookmarkEnd w:id="146"/>
      <w:bookmarkEnd w:id="147"/>
    </w:p>
    <w:p>
      <w:pPr>
        <w:spacing w:line="240" w:lineRule="auto"/>
        <w:rPr>
          <w:color w:val="auto"/>
          <w:highlight w:val="none"/>
        </w:rPr>
      </w:pPr>
    </w:p>
    <w:p>
      <w:pPr>
        <w:spacing w:before="75" w:line="240" w:lineRule="auto"/>
        <w:ind w:firstLine="456" w:firstLineChars="200"/>
        <w:rPr>
          <w:rFonts w:ascii="宋体" w:hAnsi="宋体" w:eastAsia="宋体" w:cs="宋体"/>
          <w:color w:val="auto"/>
          <w:sz w:val="23"/>
          <w:szCs w:val="23"/>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招标编号：</w:t>
      </w:r>
      <w:r>
        <w:rPr>
          <w:rFonts w:ascii="宋体" w:hAnsi="宋体" w:eastAsia="宋体" w:cs="宋体"/>
          <w:color w:val="auto"/>
          <w:sz w:val="24"/>
          <w:szCs w:val="24"/>
          <w:highlight w:val="none"/>
          <w:u w:val="single"/>
        </w:rPr>
        <w:t xml:space="preserve">              </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rPr>
        <w:t xml:space="preserve">  </w:t>
      </w:r>
    </w:p>
    <w:tbl>
      <w:tblPr>
        <w:tblStyle w:val="23"/>
        <w:tblW w:w="7576"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06"/>
        <w:gridCol w:w="807"/>
        <w:gridCol w:w="807"/>
        <w:gridCol w:w="807"/>
        <w:gridCol w:w="850"/>
        <w:gridCol w:w="959"/>
        <w:gridCol w:w="846"/>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restart"/>
            <w:tcBorders>
              <w:bottom w:val="nil"/>
            </w:tcBorders>
          </w:tcPr>
          <w:p>
            <w:pPr>
              <w:spacing w:line="240" w:lineRule="auto"/>
              <w:rPr>
                <w:color w:val="auto"/>
                <w:sz w:val="24"/>
                <w:szCs w:val="24"/>
                <w:highlight w:val="none"/>
              </w:rPr>
            </w:pPr>
          </w:p>
          <w:p>
            <w:pPr>
              <w:spacing w:before="75" w:line="240" w:lineRule="auto"/>
              <w:ind w:left="1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类别</w:t>
            </w:r>
          </w:p>
        </w:tc>
        <w:tc>
          <w:tcPr>
            <w:tcW w:w="806" w:type="dxa"/>
            <w:vMerge w:val="restart"/>
            <w:tcBorders>
              <w:bottom w:val="nil"/>
            </w:tcBorders>
          </w:tcPr>
          <w:p>
            <w:pPr>
              <w:spacing w:line="240" w:lineRule="auto"/>
              <w:rPr>
                <w:color w:val="auto"/>
                <w:sz w:val="24"/>
                <w:szCs w:val="24"/>
                <w:highlight w:val="none"/>
              </w:rPr>
            </w:pPr>
          </w:p>
          <w:p>
            <w:pPr>
              <w:spacing w:before="75" w:line="240" w:lineRule="auto"/>
              <w:ind w:left="1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务</w:t>
            </w:r>
          </w:p>
        </w:tc>
        <w:tc>
          <w:tcPr>
            <w:tcW w:w="807" w:type="dxa"/>
            <w:vMerge w:val="restart"/>
            <w:tcBorders>
              <w:bottom w:val="nil"/>
            </w:tcBorders>
          </w:tcPr>
          <w:p>
            <w:pPr>
              <w:spacing w:line="240" w:lineRule="auto"/>
              <w:rPr>
                <w:color w:val="auto"/>
                <w:sz w:val="24"/>
                <w:szCs w:val="24"/>
                <w:highlight w:val="none"/>
              </w:rPr>
            </w:pPr>
          </w:p>
          <w:p>
            <w:pPr>
              <w:spacing w:before="75" w:line="240" w:lineRule="auto"/>
              <w:ind w:left="1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p>
        </w:tc>
        <w:tc>
          <w:tcPr>
            <w:tcW w:w="807" w:type="dxa"/>
            <w:vMerge w:val="restart"/>
            <w:tcBorders>
              <w:bottom w:val="nil"/>
            </w:tcBorders>
          </w:tcPr>
          <w:p>
            <w:pPr>
              <w:spacing w:line="240" w:lineRule="auto"/>
              <w:rPr>
                <w:color w:val="auto"/>
                <w:sz w:val="24"/>
                <w:szCs w:val="24"/>
                <w:highlight w:val="none"/>
              </w:rPr>
            </w:pPr>
          </w:p>
          <w:p>
            <w:pPr>
              <w:spacing w:before="74" w:line="240" w:lineRule="auto"/>
              <w:ind w:left="1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称</w:t>
            </w:r>
          </w:p>
        </w:tc>
        <w:tc>
          <w:tcPr>
            <w:tcW w:w="807" w:type="dxa"/>
            <w:vMerge w:val="restart"/>
            <w:tcBorders>
              <w:bottom w:val="nil"/>
            </w:tcBorders>
          </w:tcPr>
          <w:p>
            <w:pPr>
              <w:spacing w:line="240" w:lineRule="auto"/>
              <w:rPr>
                <w:color w:val="auto"/>
                <w:sz w:val="24"/>
                <w:szCs w:val="24"/>
                <w:highlight w:val="none"/>
              </w:rPr>
            </w:pPr>
          </w:p>
          <w:p>
            <w:pPr>
              <w:spacing w:before="75" w:line="240" w:lineRule="auto"/>
              <w:ind w:left="119"/>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常住</w:t>
            </w:r>
          </w:p>
          <w:p>
            <w:pPr>
              <w:spacing w:line="240" w:lineRule="auto"/>
              <w:ind w:left="113"/>
              <w:rPr>
                <w:rFonts w:ascii="宋体" w:hAnsi="宋体" w:eastAsia="宋体" w:cs="宋体"/>
                <w:color w:val="auto"/>
                <w:sz w:val="24"/>
                <w:szCs w:val="24"/>
                <w:highlight w:val="none"/>
              </w:rPr>
            </w:pPr>
            <w:r>
              <w:rPr>
                <w:rFonts w:ascii="宋体" w:hAnsi="宋体" w:eastAsia="宋体" w:cs="宋体"/>
                <w:color w:val="auto"/>
                <w:sz w:val="24"/>
                <w:szCs w:val="24"/>
                <w:highlight w:val="none"/>
              </w:rPr>
              <w:t>地</w:t>
            </w:r>
          </w:p>
        </w:tc>
        <w:tc>
          <w:tcPr>
            <w:tcW w:w="3391" w:type="dxa"/>
            <w:gridSpan w:val="4"/>
          </w:tcPr>
          <w:p>
            <w:pPr>
              <w:spacing w:before="175" w:line="240" w:lineRule="auto"/>
              <w:ind w:left="59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格证明 (附复印件)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58" w:type="dxa"/>
            <w:vMerge w:val="continue"/>
            <w:tcBorders>
              <w:top w:val="nil"/>
            </w:tcBorders>
          </w:tcPr>
          <w:p>
            <w:pPr>
              <w:spacing w:line="240" w:lineRule="auto"/>
              <w:rPr>
                <w:color w:val="auto"/>
                <w:sz w:val="24"/>
                <w:szCs w:val="24"/>
                <w:highlight w:val="none"/>
              </w:rPr>
            </w:pPr>
          </w:p>
        </w:tc>
        <w:tc>
          <w:tcPr>
            <w:tcW w:w="806" w:type="dxa"/>
            <w:vMerge w:val="continue"/>
            <w:tcBorders>
              <w:top w:val="nil"/>
            </w:tcBorders>
          </w:tcPr>
          <w:p>
            <w:pPr>
              <w:spacing w:line="240" w:lineRule="auto"/>
              <w:rPr>
                <w:color w:val="auto"/>
                <w:sz w:val="24"/>
                <w:szCs w:val="24"/>
                <w:highlight w:val="none"/>
              </w:rPr>
            </w:pPr>
          </w:p>
        </w:tc>
        <w:tc>
          <w:tcPr>
            <w:tcW w:w="807" w:type="dxa"/>
            <w:vMerge w:val="continue"/>
            <w:tcBorders>
              <w:top w:val="nil"/>
            </w:tcBorders>
          </w:tcPr>
          <w:p>
            <w:pPr>
              <w:spacing w:line="240" w:lineRule="auto"/>
              <w:rPr>
                <w:color w:val="auto"/>
                <w:sz w:val="24"/>
                <w:szCs w:val="24"/>
                <w:highlight w:val="none"/>
              </w:rPr>
            </w:pPr>
          </w:p>
        </w:tc>
        <w:tc>
          <w:tcPr>
            <w:tcW w:w="807" w:type="dxa"/>
            <w:vMerge w:val="continue"/>
            <w:tcBorders>
              <w:top w:val="nil"/>
            </w:tcBorders>
          </w:tcPr>
          <w:p>
            <w:pPr>
              <w:spacing w:line="240" w:lineRule="auto"/>
              <w:rPr>
                <w:color w:val="auto"/>
                <w:sz w:val="24"/>
                <w:szCs w:val="24"/>
                <w:highlight w:val="none"/>
              </w:rPr>
            </w:pPr>
          </w:p>
        </w:tc>
        <w:tc>
          <w:tcPr>
            <w:tcW w:w="807" w:type="dxa"/>
            <w:vMerge w:val="continue"/>
            <w:tcBorders>
              <w:top w:val="nil"/>
            </w:tcBorders>
          </w:tcPr>
          <w:p>
            <w:pPr>
              <w:spacing w:line="240" w:lineRule="auto"/>
              <w:rPr>
                <w:color w:val="auto"/>
                <w:sz w:val="24"/>
                <w:szCs w:val="24"/>
                <w:highlight w:val="none"/>
              </w:rPr>
            </w:pPr>
          </w:p>
        </w:tc>
        <w:tc>
          <w:tcPr>
            <w:tcW w:w="850" w:type="dxa"/>
          </w:tcPr>
          <w:p>
            <w:pPr>
              <w:spacing w:before="85" w:line="240" w:lineRule="auto"/>
              <w:ind w:left="113"/>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证书</w:t>
            </w:r>
          </w:p>
          <w:p>
            <w:pPr>
              <w:spacing w:line="240" w:lineRule="auto"/>
              <w:ind w:left="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959" w:type="dxa"/>
          </w:tcPr>
          <w:p>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级别</w:t>
            </w:r>
          </w:p>
        </w:tc>
        <w:tc>
          <w:tcPr>
            <w:tcW w:w="846" w:type="dxa"/>
          </w:tcPr>
          <w:p>
            <w:pPr>
              <w:spacing w:before="264" w:line="240"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证号</w:t>
            </w:r>
          </w:p>
        </w:tc>
        <w:tc>
          <w:tcPr>
            <w:tcW w:w="736" w:type="dxa"/>
          </w:tcPr>
          <w:p>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w:t>
            </w:r>
            <w:r>
              <w:rPr>
                <w:rFonts w:ascii="宋体" w:hAnsi="宋体" w:eastAsia="宋体" w:cs="宋体"/>
                <w:color w:val="auto"/>
                <w:spacing w:val="4"/>
                <w:sz w:val="24"/>
                <w:szCs w:val="24"/>
                <w:highlight w:val="no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pPr>
              <w:spacing w:line="240" w:lineRule="auto"/>
              <w:ind w:left="123"/>
              <w:rPr>
                <w:rFonts w:ascii="宋体" w:hAnsi="宋体" w:eastAsia="宋体" w:cs="宋体"/>
                <w:color w:val="auto"/>
                <w:spacing w:val="2"/>
                <w:position w:val="9"/>
                <w:sz w:val="24"/>
                <w:szCs w:val="24"/>
                <w:highlight w:val="none"/>
              </w:rPr>
            </w:pPr>
          </w:p>
          <w:p>
            <w:pPr>
              <w:spacing w:line="240" w:lineRule="auto"/>
              <w:ind w:left="123"/>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管理</w:t>
            </w:r>
          </w:p>
          <w:p>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58" w:type="dxa"/>
            <w:vMerge w:val="continue"/>
            <w:tcBorders>
              <w:top w:val="nil"/>
              <w:bottom w:val="nil"/>
            </w:tcBorders>
          </w:tcPr>
          <w:p>
            <w:pPr>
              <w:spacing w:line="240" w:lineRule="auto"/>
              <w:rPr>
                <w:color w:val="auto"/>
                <w:sz w:val="24"/>
                <w:szCs w:val="24"/>
                <w:highlight w:val="none"/>
              </w:rPr>
            </w:pP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pPr>
              <w:spacing w:line="240" w:lineRule="auto"/>
              <w:rPr>
                <w:color w:val="auto"/>
                <w:sz w:val="24"/>
                <w:szCs w:val="24"/>
                <w:highlight w:val="none"/>
              </w:rPr>
            </w:pP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restart"/>
            <w:tcBorders>
              <w:bottom w:val="nil"/>
            </w:tcBorders>
          </w:tcPr>
          <w:p>
            <w:pPr>
              <w:spacing w:line="240" w:lineRule="auto"/>
              <w:ind w:left="118"/>
              <w:rPr>
                <w:rFonts w:ascii="宋体" w:hAnsi="宋体" w:eastAsia="宋体" w:cs="宋体"/>
                <w:color w:val="auto"/>
                <w:spacing w:val="5"/>
                <w:position w:val="9"/>
                <w:sz w:val="24"/>
                <w:szCs w:val="24"/>
                <w:highlight w:val="none"/>
              </w:rPr>
            </w:pPr>
          </w:p>
          <w:p>
            <w:pPr>
              <w:spacing w:line="240" w:lineRule="auto"/>
              <w:ind w:left="118"/>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技</w:t>
            </w:r>
            <w:r>
              <w:rPr>
                <w:rFonts w:ascii="宋体" w:hAnsi="宋体" w:eastAsia="宋体" w:cs="宋体"/>
                <w:color w:val="auto"/>
                <w:spacing w:val="4"/>
                <w:position w:val="9"/>
                <w:sz w:val="24"/>
                <w:szCs w:val="24"/>
                <w:highlight w:val="none"/>
              </w:rPr>
              <w:t>术</w:t>
            </w:r>
          </w:p>
          <w:p>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bottom w:val="nil"/>
            </w:tcBorders>
          </w:tcPr>
          <w:p>
            <w:pPr>
              <w:spacing w:line="240" w:lineRule="auto"/>
              <w:rPr>
                <w:color w:val="auto"/>
                <w:sz w:val="24"/>
                <w:szCs w:val="24"/>
                <w:highlight w:val="none"/>
              </w:rPr>
            </w:pP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pPr>
              <w:spacing w:line="240" w:lineRule="auto"/>
              <w:rPr>
                <w:color w:val="auto"/>
                <w:sz w:val="24"/>
                <w:szCs w:val="24"/>
                <w:highlight w:val="none"/>
              </w:rPr>
            </w:pP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pPr>
              <w:spacing w:before="89" w:line="240" w:lineRule="auto"/>
              <w:ind w:left="118" w:right="125"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售后</w:t>
            </w:r>
            <w:r>
              <w:rPr>
                <w:rFonts w:ascii="宋体" w:hAnsi="宋体" w:eastAsia="宋体" w:cs="宋体"/>
                <w:color w:val="auto"/>
                <w:spacing w:val="6"/>
                <w:sz w:val="24"/>
                <w:szCs w:val="24"/>
                <w:highlight w:val="none"/>
              </w:rPr>
              <w:t>服务人员</w:t>
            </w: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continue"/>
            <w:tcBorders>
              <w:top w:val="nil"/>
            </w:tcBorders>
          </w:tcPr>
          <w:p>
            <w:pPr>
              <w:spacing w:line="240" w:lineRule="auto"/>
              <w:rPr>
                <w:color w:val="auto"/>
                <w:sz w:val="24"/>
                <w:szCs w:val="24"/>
                <w:highlight w:val="none"/>
              </w:rPr>
            </w:pPr>
          </w:p>
        </w:tc>
        <w:tc>
          <w:tcPr>
            <w:tcW w:w="806"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07" w:type="dxa"/>
          </w:tcPr>
          <w:p>
            <w:pPr>
              <w:spacing w:line="240" w:lineRule="auto"/>
              <w:rPr>
                <w:color w:val="auto"/>
                <w:sz w:val="24"/>
                <w:szCs w:val="24"/>
                <w:highlight w:val="none"/>
              </w:rPr>
            </w:pPr>
          </w:p>
        </w:tc>
        <w:tc>
          <w:tcPr>
            <w:tcW w:w="850" w:type="dxa"/>
          </w:tcPr>
          <w:p>
            <w:pPr>
              <w:spacing w:line="240" w:lineRule="auto"/>
              <w:rPr>
                <w:color w:val="auto"/>
                <w:sz w:val="24"/>
                <w:szCs w:val="24"/>
                <w:highlight w:val="none"/>
              </w:rPr>
            </w:pPr>
          </w:p>
        </w:tc>
        <w:tc>
          <w:tcPr>
            <w:tcW w:w="959" w:type="dxa"/>
          </w:tcPr>
          <w:p>
            <w:pPr>
              <w:spacing w:line="240" w:lineRule="auto"/>
              <w:rPr>
                <w:color w:val="auto"/>
                <w:sz w:val="24"/>
                <w:szCs w:val="24"/>
                <w:highlight w:val="none"/>
              </w:rPr>
            </w:pPr>
          </w:p>
        </w:tc>
        <w:tc>
          <w:tcPr>
            <w:tcW w:w="846" w:type="dxa"/>
          </w:tcPr>
          <w:p>
            <w:pPr>
              <w:spacing w:line="240" w:lineRule="auto"/>
              <w:rPr>
                <w:color w:val="auto"/>
                <w:sz w:val="24"/>
                <w:szCs w:val="24"/>
                <w:highlight w:val="none"/>
              </w:rPr>
            </w:pPr>
          </w:p>
        </w:tc>
        <w:tc>
          <w:tcPr>
            <w:tcW w:w="736" w:type="dxa"/>
          </w:tcPr>
          <w:p>
            <w:pPr>
              <w:spacing w:line="240" w:lineRule="auto"/>
              <w:rPr>
                <w:color w:val="auto"/>
                <w:sz w:val="24"/>
                <w:szCs w:val="24"/>
                <w:highlight w:val="none"/>
              </w:rPr>
            </w:pPr>
          </w:p>
        </w:tc>
      </w:tr>
    </w:tbl>
    <w:p>
      <w:pPr>
        <w:spacing w:line="240" w:lineRule="auto"/>
        <w:rPr>
          <w:color w:val="auto"/>
          <w:highlight w:val="none"/>
        </w:rPr>
      </w:pP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sz w:val="24"/>
          <w:szCs w:val="24"/>
          <w:highlight w:val="none"/>
        </w:rPr>
      </w:pPr>
    </w:p>
    <w:p>
      <w:pPr>
        <w:spacing w:line="240" w:lineRule="auto"/>
        <w:ind w:right="13"/>
        <w:rPr>
          <w:rFonts w:ascii="宋体" w:hAnsi="宋体" w:eastAsia="宋体" w:cs="宋体"/>
          <w:b/>
          <w:bCs/>
          <w:color w:val="auto"/>
          <w:spacing w:val="6"/>
          <w:sz w:val="23"/>
          <w:szCs w:val="23"/>
          <w:highlight w:val="none"/>
        </w:rPr>
      </w:pPr>
      <w:r>
        <w:rPr>
          <w:rFonts w:hint="eastAsia" w:ascii="宋体" w:hAnsi="宋体" w:eastAsia="宋体" w:cs="宋体"/>
          <w:b/>
          <w:bCs/>
          <w:color w:val="auto"/>
          <w:spacing w:val="6"/>
          <w:sz w:val="24"/>
          <w:szCs w:val="24"/>
          <w:highlight w:val="none"/>
        </w:rPr>
        <w:t>注：此表填写的管理人员将作为判定(财政部令第87号) 第三十七条依据。</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sectPr>
          <w:headerReference r:id="rId33" w:type="default"/>
          <w:footerReference r:id="rId34" w:type="default"/>
          <w:pgSz w:w="11905" w:h="16838"/>
          <w:pgMar w:top="1417" w:right="1417" w:bottom="1417" w:left="1417" w:header="0" w:footer="1134" w:gutter="0"/>
          <w:cols w:space="0" w:num="1"/>
        </w:sectPr>
      </w:pPr>
    </w:p>
    <w:p>
      <w:pPr>
        <w:spacing w:before="3" w:line="240" w:lineRule="auto"/>
        <w:ind w:right="13"/>
        <w:jc w:val="both"/>
        <w:rPr>
          <w:rFonts w:ascii="宋体" w:hAnsi="宋体" w:eastAsia="宋体" w:cs="宋体"/>
          <w:b/>
          <w:bCs/>
          <w:color w:val="auto"/>
          <w:sz w:val="32"/>
          <w:szCs w:val="32"/>
          <w:highlight w:val="none"/>
        </w:rPr>
      </w:pPr>
    </w:p>
    <w:p>
      <w:pPr>
        <w:spacing w:before="3" w:line="240" w:lineRule="auto"/>
        <w:ind w:right="13"/>
        <w:jc w:val="center"/>
        <w:outlineLvl w:val="9"/>
        <w:rPr>
          <w:rFonts w:ascii="宋体" w:hAnsi="宋体" w:eastAsia="宋体" w:cs="宋体"/>
          <w:b/>
          <w:bCs/>
          <w:color w:val="auto"/>
          <w:sz w:val="32"/>
          <w:szCs w:val="32"/>
          <w:highlight w:val="none"/>
        </w:rPr>
      </w:pPr>
      <w:bookmarkStart w:id="148" w:name="_Toc20221"/>
      <w:bookmarkStart w:id="149" w:name="_Toc24427"/>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、承诺函(实质性要求)</w:t>
      </w:r>
      <w:bookmarkEnd w:id="148"/>
      <w:bookmarkEnd w:id="149"/>
    </w:p>
    <w:p>
      <w:pPr>
        <w:tabs>
          <w:tab w:val="left" w:pos="1948"/>
        </w:tabs>
        <w:spacing w:before="176" w:line="240" w:lineRule="auto"/>
        <w:ind w:left="14"/>
        <w:rPr>
          <w:rFonts w:ascii="宋体" w:hAnsi="宋体" w:eastAsia="宋体" w:cs="宋体"/>
          <w:color w:val="auto"/>
          <w:sz w:val="23"/>
          <w:szCs w:val="23"/>
          <w:highlight w:val="none"/>
          <w:u w:val="single"/>
        </w:rPr>
      </w:pPr>
    </w:p>
    <w:p>
      <w:pPr>
        <w:tabs>
          <w:tab w:val="left" w:pos="1948"/>
        </w:tabs>
        <w:spacing w:before="176"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pacing w:val="6"/>
          <w:sz w:val="24"/>
          <w:szCs w:val="24"/>
          <w:highlight w:val="none"/>
        </w:rPr>
        <w:t>(招标代理机构名称)：</w:t>
      </w:r>
    </w:p>
    <w:p>
      <w:pPr>
        <w:spacing w:line="240" w:lineRule="auto"/>
        <w:rPr>
          <w:color w:val="auto"/>
          <w:sz w:val="24"/>
          <w:szCs w:val="24"/>
          <w:highlight w:val="none"/>
        </w:rPr>
      </w:pP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我单位作为本次采购项目的投标人，根据招标文件要求，现郑重承诺如下：</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二、参加本次招标采购活动，不存在与单位负责人为同一人或者存在直接控股、管理关系的其他供应商参与同一合同项下的采购活动的行为。</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三、参加本次招标采购活动，不存在和其他供应商在同一合同项下的采购项目中，同时委托同一个自然人、同一家庭的人员、同一单位的人员作为代理人的行为。</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四、为采购项目提供整体设计、规范编制或者项目管理、监理、检测等服务的供应商，不得再参加该采购项目的其他采购活动，我单位承诺不属于此类禁止参加本项目的供应商。</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五、投标文件中提供的能够给予我公司带来优惠、好处的任何材料资料和技术、服务、商务等响应承诺情况都是真实的、有效的、合法的。</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七、参加本次招标采购活动，我方完全同意招标文件第二章关于“投标费用”、“合同分包”、“合同转包”、“履约保证金”的实质性要求，并承诺严格按照招标文件要求履行。</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九、本次投标报价是响应招标项目要求的全部工作内容的价格体现，包括完成本项目所需的一切费用。</w:t>
      </w:r>
    </w:p>
    <w:p>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我方对上述承诺的内容事项真实性负责。如经查实上述承诺的内容事项存在虚假，我方愿意接受以提供虚假材料谋取中标追究法律责任。</w:t>
      </w:r>
    </w:p>
    <w:p>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pPr>
        <w:spacing w:before="77" w:line="240" w:lineRule="auto"/>
        <w:ind w:left="494"/>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color w:val="auto"/>
          <w:highlight w:val="none"/>
        </w:rPr>
        <w:sectPr>
          <w:headerReference r:id="rId35" w:type="default"/>
          <w:footerReference r:id="rId36" w:type="default"/>
          <w:pgSz w:w="11905" w:h="16838"/>
          <w:pgMar w:top="1417" w:right="1417" w:bottom="1417" w:left="1417" w:header="0" w:footer="1134" w:gutter="0"/>
          <w:cols w:space="0" w:num="1"/>
        </w:sect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0" w:name="_Toc186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bookmarkEnd w:id="150"/>
    </w:p>
    <w:p>
      <w:pPr>
        <w:spacing w:line="240" w:lineRule="auto"/>
        <w:rPr>
          <w:rFonts w:ascii="宋体" w:hAnsi="宋体" w:eastAsia="宋体" w:cs="宋体"/>
          <w:b/>
          <w:bCs/>
          <w:color w:val="auto"/>
          <w:sz w:val="24"/>
          <w:szCs w:val="24"/>
          <w:highlight w:val="none"/>
        </w:rPr>
      </w:pPr>
      <w:bookmarkStart w:id="151" w:name="_Toc9678"/>
      <w:bookmarkStart w:id="152" w:name="_Toc12309"/>
      <w:r>
        <w:rPr>
          <w:rFonts w:hint="eastAsia" w:ascii="宋体" w:hAnsi="宋体" w:eastAsia="宋体" w:cs="宋体"/>
          <w:b/>
          <w:bCs/>
          <w:color w:val="auto"/>
          <w:sz w:val="24"/>
          <w:szCs w:val="24"/>
          <w:highlight w:val="none"/>
        </w:rPr>
        <w:t>一、参加投标的供应商应具备下列资格条件：</w:t>
      </w:r>
      <w:bookmarkEnd w:id="151"/>
      <w:bookmarkEnd w:id="152"/>
    </w:p>
    <w:p>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p>
    <w:p>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1、具有独立承担民事责任的能力；</w:t>
      </w:r>
    </w:p>
    <w:p>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2、具有良好的商业信誉和健全的财务会计制度；</w:t>
      </w:r>
    </w:p>
    <w:p>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3、具有履行合同所必需的设备和专业技术能力；</w:t>
      </w:r>
    </w:p>
    <w:p>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4、有依法缴纳税收和社会保障资金的良好记录；</w:t>
      </w:r>
    </w:p>
    <w:p>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5、参加本次采购活动前三年内，在经营活动中没有重大违法记录；(公司成立不足三年的从成立之日起算)</w:t>
      </w:r>
    </w:p>
    <w:p>
      <w:pPr>
        <w:spacing w:line="240" w:lineRule="auto"/>
        <w:ind w:left="588"/>
        <w:outlineLvl w:val="9"/>
        <w:rPr>
          <w:rFonts w:ascii="宋体" w:hAnsi="宋体" w:eastAsia="宋体" w:cs="宋体"/>
          <w:color w:val="auto"/>
          <w:spacing w:val="6"/>
          <w:sz w:val="24"/>
          <w:szCs w:val="24"/>
          <w:highlight w:val="none"/>
        </w:rPr>
      </w:pPr>
      <w:bookmarkStart w:id="153" w:name="_Toc2903"/>
      <w:bookmarkStart w:id="154" w:name="_Toc5128"/>
      <w:r>
        <w:rPr>
          <w:rFonts w:hint="eastAsia" w:ascii="宋体" w:hAnsi="宋体" w:eastAsia="宋体" w:cs="宋体"/>
          <w:color w:val="auto"/>
          <w:spacing w:val="6"/>
          <w:sz w:val="24"/>
          <w:szCs w:val="24"/>
          <w:highlight w:val="none"/>
        </w:rPr>
        <w:t>6、具备法律、行政法规规定的其他条件。</w:t>
      </w:r>
      <w:bookmarkEnd w:id="153"/>
      <w:bookmarkEnd w:id="154"/>
    </w:p>
    <w:p>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(二) 本项目不接受联合体投标。</w:t>
      </w:r>
    </w:p>
    <w:p>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三</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z w:val="24"/>
          <w:szCs w:val="24"/>
          <w:highlight w:val="none"/>
        </w:rPr>
        <w:t>其他类似效力要求：</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val="en-US" w:eastAsia="zh-CN"/>
        </w:rPr>
        <w:t>参照</w:t>
      </w:r>
      <w:r>
        <w:rPr>
          <w:rFonts w:hint="eastAsia" w:ascii="宋体" w:hAnsi="宋体" w:eastAsia="宋体" w:cs="宋体"/>
          <w:color w:val="auto"/>
          <w:spacing w:val="6"/>
          <w:sz w:val="24"/>
          <w:szCs w:val="24"/>
          <w:highlight w:val="none"/>
        </w:rPr>
        <w:t>《关于在政府采购活动中查询及使用信用记录有关问题的通知》(财库〔2016〕125号)的要求，拒绝列入失信被执行人名单、重大税收违法案件当事人名单、政府采购严重违法失信行为记录名单中的供应商参加本项目的采购活动；</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、授权参加本次采购活动的投标人代表证明材料；</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、按照本项目招标文件的规定获取了招标文件。</w:t>
      </w:r>
    </w:p>
    <w:p>
      <w:pPr>
        <w:spacing w:line="240" w:lineRule="auto"/>
        <w:rPr>
          <w:rFonts w:ascii="宋体" w:hAnsi="宋体" w:eastAsia="宋体" w:cs="宋体"/>
          <w:b/>
          <w:bCs/>
          <w:color w:val="auto"/>
          <w:sz w:val="24"/>
          <w:szCs w:val="24"/>
          <w:highlight w:val="none"/>
        </w:rPr>
      </w:pPr>
    </w:p>
    <w:p>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注：1、本章资格要求第 (5款) 中“参加本次采购活动前三年内，在经营活动中没有重大违法记录”中的重大违法记录是指：投标人因违法经营 受到刑事处罚或者责令停产停业、吊销许可证或者执照、较大数额罚款等行政处罚，其中较大数额罚款的具体金额标准以财库〔2022〕3 号文为准，即：认定为200万元以上的罚款，法律、行政法规以及国务院有关部门明确规定相关 领域“较大数额罚款”标准高于200万元的，从其规定。</w:t>
      </w:r>
    </w:p>
    <w:p>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 (处理)的，本项目不认定其具有良好的商业信誉。</w:t>
      </w:r>
    </w:p>
    <w:p>
      <w:pPr>
        <w:spacing w:line="240" w:lineRule="auto"/>
        <w:rPr>
          <w:rFonts w:ascii="宋体" w:hAnsi="宋体" w:eastAsia="宋体" w:cs="宋体"/>
          <w:b/>
          <w:bCs/>
          <w:color w:val="auto"/>
          <w:sz w:val="23"/>
          <w:szCs w:val="23"/>
          <w:highlight w:val="none"/>
        </w:rPr>
      </w:pPr>
      <w:r>
        <w:rPr>
          <w:rFonts w:ascii="宋体" w:hAnsi="宋体" w:eastAsia="宋体" w:cs="宋体"/>
          <w:b/>
          <w:bCs/>
          <w:color w:val="auto"/>
          <w:sz w:val="24"/>
          <w:szCs w:val="24"/>
          <w:highlight w:val="none"/>
        </w:rPr>
        <w:pict>
          <v:shape id="_x0000_s2057" o:spid="_x0000_s2057" o:spt="202" type="#_x0000_t202" style="position:absolute;left:0pt;margin-left:288.1pt;margin-top:772.25pt;height:10.05pt;width:21.1pt;mso-position-horizontal-relative:page;mso-position-vertical-relative:page;z-index:251670528;mso-width-relative:page;mso-height-relative:page;" filled="f" stroked="f" coordsize="21600,21600" o:allowincell="f">
            <v:path/>
            <v:fill on="f" focussize="0,0"/>
            <v:stroke on="f" joinstyle="miter"/>
            <v:imagedata o:title=""/>
            <o:lock v:ext="edit"/>
            <v:textbox inset="0mm,0mm,0mm,0mm">
              <w:txbxContent>
                <w:p>
                  <w:pPr>
                    <w:spacing w:before="19" w:line="197" w:lineRule="auto"/>
                    <w:ind w:left="20"/>
                    <w:rPr>
                      <w:rFonts w:ascii="Times New Roman" w:hAnsi="Times New Roman" w:eastAsia="Times New Roman" w:cs="Times New Roman"/>
                      <w:sz w:val="17"/>
                      <w:szCs w:val="17"/>
                    </w:rPr>
                  </w:pPr>
                </w:p>
              </w:txbxContent>
            </v:textbox>
          </v:shape>
        </w:pict>
      </w:r>
      <w:r>
        <w:rPr>
          <w:rFonts w:hint="eastAsia" w:ascii="宋体" w:hAnsi="宋体" w:eastAsia="宋体" w:cs="宋体"/>
          <w:b/>
          <w:bCs/>
          <w:color w:val="auto"/>
          <w:sz w:val="24"/>
          <w:szCs w:val="24"/>
          <w:highlight w:val="none"/>
        </w:rPr>
        <w:t>3、本章要求投标人提供的资格证明材料必须加盖投标人印章(鲜章)。</w:t>
      </w:r>
    </w:p>
    <w:p>
      <w:pPr>
        <w:spacing w:line="240" w:lineRule="auto"/>
        <w:rPr>
          <w:color w:val="auto"/>
          <w:highlight w:val="none"/>
        </w:rPr>
        <w:sectPr>
          <w:headerReference r:id="rId37" w:type="default"/>
          <w:footerReference r:id="rId38" w:type="default"/>
          <w:pgSz w:w="11905" w:h="16838"/>
          <w:pgMar w:top="1417" w:right="1417" w:bottom="1417" w:left="1417" w:header="0" w:footer="1134" w:gutter="0"/>
          <w:cols w:space="0" w:num="1"/>
        </w:sect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5" w:name="_Toc4044"/>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第五章  投标人应当提供的资格、资质性及其他类似</w:t>
      </w:r>
      <w:bookmarkStart w:id="156" w:name="_Toc2783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效力要求的相关证明材料</w:t>
      </w:r>
      <w:bookmarkEnd w:id="155"/>
      <w:bookmarkEnd w:id="156"/>
    </w:p>
    <w:p>
      <w:pPr>
        <w:spacing w:line="240" w:lineRule="auto"/>
        <w:rPr>
          <w:color w:val="auto"/>
          <w:highlight w:val="none"/>
        </w:rPr>
      </w:pPr>
    </w:p>
    <w:p>
      <w:pPr>
        <w:spacing w:line="240" w:lineRule="auto"/>
        <w:rPr>
          <w:color w:val="auto"/>
          <w:highlight w:val="none"/>
        </w:rPr>
      </w:pPr>
    </w:p>
    <w:p>
      <w:pPr>
        <w:spacing w:line="240" w:lineRule="auto"/>
        <w:outlineLvl w:val="9"/>
        <w:rPr>
          <w:rFonts w:ascii="宋体" w:hAnsi="宋体" w:eastAsia="宋体" w:cs="宋体"/>
          <w:b/>
          <w:bCs/>
          <w:color w:val="auto"/>
          <w:sz w:val="24"/>
          <w:szCs w:val="24"/>
          <w:highlight w:val="none"/>
        </w:rPr>
      </w:pPr>
      <w:bookmarkStart w:id="157" w:name="_Toc23003"/>
      <w:bookmarkStart w:id="158" w:name="_Toc487"/>
      <w:r>
        <w:rPr>
          <w:rFonts w:hint="eastAsia" w:ascii="宋体" w:hAnsi="宋体" w:eastAsia="宋体" w:cs="宋体"/>
          <w:b/>
          <w:bCs/>
          <w:color w:val="auto"/>
          <w:sz w:val="24"/>
          <w:szCs w:val="24"/>
          <w:highlight w:val="none"/>
        </w:rPr>
        <w:t>一、应当提供的供应商资格、资质性及其他类似效力要求的相关证明材料</w:t>
      </w:r>
      <w:bookmarkEnd w:id="157"/>
      <w:bookmarkEnd w:id="158"/>
    </w:p>
    <w:p>
      <w:pPr>
        <w:spacing w:line="240" w:lineRule="auto"/>
        <w:ind w:left="3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r>
        <w:rPr>
          <w:rFonts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w:t>
      </w:r>
    </w:p>
    <w:p>
      <w:pPr>
        <w:spacing w:line="240" w:lineRule="auto"/>
        <w:ind w:left="22" w:right="94" w:firstLine="3"/>
        <w:outlineLvl w:val="9"/>
        <w:rPr>
          <w:rFonts w:ascii="宋体" w:hAnsi="宋体" w:eastAsia="宋体" w:cs="宋体"/>
          <w:color w:val="auto"/>
          <w:spacing w:val="9"/>
          <w:sz w:val="24"/>
          <w:szCs w:val="24"/>
          <w:highlight w:val="none"/>
        </w:rPr>
      </w:pPr>
      <w:bookmarkStart w:id="159" w:name="_Toc15790"/>
      <w:bookmarkStart w:id="160" w:name="_Toc12679"/>
      <w:r>
        <w:rPr>
          <w:rFonts w:hint="eastAsia" w:ascii="宋体" w:hAnsi="宋体" w:eastAsia="宋体" w:cs="宋体"/>
          <w:color w:val="auto"/>
          <w:spacing w:val="9"/>
          <w:sz w:val="24"/>
          <w:szCs w:val="24"/>
          <w:highlight w:val="none"/>
        </w:rPr>
        <w:t>1、具有独立承担民事责任的能力：</w:t>
      </w:r>
      <w:bookmarkEnd w:id="159"/>
      <w:bookmarkEnd w:id="160"/>
    </w:p>
    <w:p>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pPr>
        <w:spacing w:line="240" w:lineRule="auto"/>
        <w:ind w:left="22" w:right="94" w:firstLine="3"/>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2、具有良好的商业信誉和健全的财务会计制度：【①具有健全的财务会计制度的证明材料：A、可提供202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年度(含)至今任意一年度经审计的财务报告(包含审计报告和审计报告中所涉及的财务报表和报表附注)；B、也可提供202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年度(含)至今任意一年度供应商内部的财务报表(至少包含资产负债表) ；C、也可提供截止投标文件递交截止日一年内其基本开户银行出具的资信证明；D、</w:t>
      </w:r>
      <w:r>
        <w:rPr>
          <w:rFonts w:hint="eastAsia" w:ascii="宋体" w:hAnsi="宋体" w:eastAsia="宋体" w:cs="宋体"/>
          <w:color w:val="auto"/>
          <w:spacing w:val="9"/>
          <w:sz w:val="24"/>
          <w:szCs w:val="24"/>
          <w:highlight w:val="none"/>
          <w:lang w:val="en-US" w:eastAsia="zh-CN"/>
        </w:rPr>
        <w:t>投标人</w:t>
      </w:r>
      <w:r>
        <w:rPr>
          <w:rFonts w:hint="eastAsia" w:ascii="宋体" w:hAnsi="宋体" w:eastAsia="宋体" w:cs="宋体"/>
          <w:color w:val="auto"/>
          <w:spacing w:val="9"/>
          <w:sz w:val="24"/>
          <w:szCs w:val="24"/>
          <w:highlight w:val="none"/>
        </w:rPr>
        <w:t>注册时间截止响应文件递交截止日不足一年的，也可提供公司章程；F、自然人可不提供】</w:t>
      </w:r>
      <w:r>
        <w:rPr>
          <w:rFonts w:hint="eastAsia" w:ascii="宋体" w:hAnsi="宋体" w:eastAsia="宋体" w:cs="宋体"/>
          <w:color w:val="auto"/>
          <w:spacing w:val="9"/>
          <w:sz w:val="24"/>
          <w:szCs w:val="24"/>
          <w:highlight w:val="none"/>
          <w:lang w:eastAsia="zh-CN"/>
        </w:rPr>
        <w:t>。</w:t>
      </w:r>
    </w:p>
    <w:p>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②提供具有良好商业信誉的承诺函 (原件) ；                             </w:t>
      </w:r>
    </w:p>
    <w:p>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3、提供具有履行合同所必需的设备和专业技术能力承诺函；(原件)         </w:t>
      </w:r>
    </w:p>
    <w:p>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4、提供具有依法缴纳税收和社会保障资金的</w:t>
      </w:r>
      <w:r>
        <w:rPr>
          <w:rFonts w:hint="eastAsia" w:ascii="宋体" w:hAnsi="宋体" w:eastAsia="宋体" w:cs="宋体"/>
          <w:color w:val="auto"/>
          <w:spacing w:val="9"/>
          <w:sz w:val="24"/>
          <w:szCs w:val="24"/>
          <w:highlight w:val="none"/>
          <w:lang w:val="en-US" w:eastAsia="zh-CN"/>
        </w:rPr>
        <w:t>证明材料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①可提供2023年6月1日至今任意1个月</w:t>
      </w:r>
      <w:r>
        <w:rPr>
          <w:rFonts w:hint="eastAsia" w:ascii="宋体" w:hAnsi="宋体" w:cs="宋体"/>
          <w:color w:val="auto"/>
          <w:sz w:val="24"/>
          <w:szCs w:val="24"/>
          <w:highlight w:val="none"/>
        </w:rPr>
        <w:t>主管部门出具的依法缴纳税收及社会保障资金的发票或银行转账凭证或主管部门出具的证明文件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②也可提供承诺函</w:t>
      </w:r>
      <w:r>
        <w:rPr>
          <w:rFonts w:hint="eastAsia" w:ascii="宋体" w:hAnsi="宋体" w:eastAsia="宋体" w:cs="宋体"/>
          <w:color w:val="auto"/>
          <w:spacing w:val="9"/>
          <w:sz w:val="24"/>
          <w:szCs w:val="24"/>
          <w:highlight w:val="none"/>
        </w:rPr>
        <w:t xml:space="preserve">原件)     </w:t>
      </w:r>
    </w:p>
    <w:p>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5、提供参加本次采购活动前三年内，在经营活动中没有重大违法记录的承诺函；(原件)(公司成立不足三年的从成立之日起算)</w:t>
      </w:r>
    </w:p>
    <w:p>
      <w:pPr>
        <w:spacing w:line="240" w:lineRule="auto"/>
        <w:ind w:left="22" w:right="94" w:firstLine="3"/>
        <w:outlineLvl w:val="9"/>
        <w:rPr>
          <w:rFonts w:ascii="宋体" w:hAnsi="宋体" w:eastAsia="宋体" w:cs="宋体"/>
          <w:color w:val="auto"/>
          <w:spacing w:val="4"/>
          <w:sz w:val="24"/>
          <w:szCs w:val="24"/>
          <w:highlight w:val="none"/>
        </w:rPr>
      </w:pPr>
      <w:bookmarkStart w:id="161" w:name="_Toc25527"/>
      <w:bookmarkStart w:id="162" w:name="_Toc20467"/>
      <w:r>
        <w:rPr>
          <w:rFonts w:hint="eastAsia" w:ascii="宋体" w:hAnsi="宋体" w:eastAsia="宋体" w:cs="宋体"/>
          <w:color w:val="auto"/>
          <w:spacing w:val="8"/>
          <w:sz w:val="24"/>
          <w:szCs w:val="24"/>
          <w:highlight w:val="none"/>
        </w:rPr>
        <w:t>6、</w:t>
      </w:r>
      <w:r>
        <w:rPr>
          <w:rFonts w:ascii="宋体" w:hAnsi="宋体" w:eastAsia="宋体" w:cs="宋体"/>
          <w:color w:val="auto"/>
          <w:spacing w:val="8"/>
          <w:sz w:val="24"/>
          <w:szCs w:val="24"/>
          <w:highlight w:val="none"/>
        </w:rPr>
        <w:t>提供具备</w:t>
      </w:r>
      <w:r>
        <w:rPr>
          <w:rFonts w:ascii="宋体" w:hAnsi="宋体" w:eastAsia="宋体" w:cs="宋体"/>
          <w:color w:val="auto"/>
          <w:spacing w:val="4"/>
          <w:sz w:val="24"/>
          <w:szCs w:val="24"/>
          <w:highlight w:val="none"/>
        </w:rPr>
        <w:t>法律、行政法规规定的其他条件的承诺函；(原件)</w:t>
      </w:r>
      <w:bookmarkEnd w:id="161"/>
      <w:bookmarkEnd w:id="162"/>
    </w:p>
    <w:p>
      <w:pPr>
        <w:spacing w:line="240" w:lineRule="auto"/>
        <w:ind w:left="24" w:right="96" w:firstLine="1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其他类似效力要求相关证明材料：</w:t>
      </w:r>
    </w:p>
    <w:p>
      <w:pPr>
        <w:spacing w:line="240" w:lineRule="auto"/>
        <w:ind w:left="22" w:firstLine="18"/>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1、</w:t>
      </w:r>
      <w:r>
        <w:rPr>
          <w:rFonts w:hint="eastAsia" w:ascii="宋体" w:hAnsi="宋体" w:eastAsia="宋体" w:cs="宋体"/>
          <w:color w:val="auto"/>
          <w:spacing w:val="11"/>
          <w:sz w:val="24"/>
          <w:szCs w:val="24"/>
          <w:highlight w:val="none"/>
        </w:rPr>
        <w:t>招标代理机构</w:t>
      </w:r>
      <w:r>
        <w:rPr>
          <w:rFonts w:ascii="宋体" w:hAnsi="宋体" w:eastAsia="宋体" w:cs="宋体"/>
          <w:color w:val="auto"/>
          <w:spacing w:val="11"/>
          <w:sz w:val="24"/>
          <w:szCs w:val="24"/>
          <w:highlight w:val="none"/>
        </w:rPr>
        <w:t>通过“信用中国”网站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、“中国</w:t>
      </w:r>
      <w:r>
        <w:rPr>
          <w:rFonts w:ascii="宋体" w:hAnsi="宋体" w:eastAsia="宋体" w:cs="宋体"/>
          <w:color w:val="auto"/>
          <w:spacing w:val="21"/>
          <w:sz w:val="24"/>
          <w:szCs w:val="24"/>
          <w:highlight w:val="none"/>
        </w:rPr>
        <w:t>政</w:t>
      </w:r>
      <w:r>
        <w:rPr>
          <w:rFonts w:ascii="宋体" w:hAnsi="宋体" w:eastAsia="宋体" w:cs="宋体"/>
          <w:color w:val="auto"/>
          <w:spacing w:val="11"/>
          <w:sz w:val="24"/>
          <w:szCs w:val="24"/>
          <w:highlight w:val="none"/>
        </w:rPr>
        <w:t>府采购网”网站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ccgp</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等渠道查询供应商在递交投标文件截止</w:t>
      </w:r>
      <w:r>
        <w:rPr>
          <w:rFonts w:ascii="宋体" w:hAnsi="宋体" w:eastAsia="宋体" w:cs="宋体"/>
          <w:color w:val="auto"/>
          <w:spacing w:val="18"/>
          <w:sz w:val="24"/>
          <w:szCs w:val="24"/>
          <w:highlight w:val="none"/>
        </w:rPr>
        <w:t>之日</w:t>
      </w:r>
      <w:r>
        <w:rPr>
          <w:rFonts w:ascii="宋体" w:hAnsi="宋体" w:eastAsia="宋体" w:cs="宋体"/>
          <w:color w:val="auto"/>
          <w:spacing w:val="9"/>
          <w:sz w:val="24"/>
          <w:szCs w:val="24"/>
          <w:highlight w:val="none"/>
        </w:rPr>
        <w:t>的信用记录并保存信用记录结果网页截图，拒绝列入失信被执行人名单、</w:t>
      </w:r>
      <w:r>
        <w:rPr>
          <w:rFonts w:ascii="宋体" w:hAnsi="宋体" w:eastAsia="宋体" w:cs="宋体"/>
          <w:color w:val="auto"/>
          <w:spacing w:val="10"/>
          <w:sz w:val="24"/>
          <w:szCs w:val="24"/>
          <w:highlight w:val="none"/>
        </w:rPr>
        <w:t>重</w:t>
      </w:r>
      <w:r>
        <w:rPr>
          <w:rFonts w:ascii="宋体" w:hAnsi="宋体" w:eastAsia="宋体" w:cs="宋体"/>
          <w:color w:val="auto"/>
          <w:spacing w:val="7"/>
          <w:sz w:val="24"/>
          <w:szCs w:val="24"/>
          <w:highlight w:val="none"/>
        </w:rPr>
        <w:t>大税收违法案件当事人名单、政府采购严重违法失信行为记录名单中的供应商</w:t>
      </w:r>
      <w:r>
        <w:rPr>
          <w:rFonts w:ascii="宋体" w:hAnsi="宋体" w:eastAsia="宋体" w:cs="宋体"/>
          <w:color w:val="auto"/>
          <w:spacing w:val="11"/>
          <w:sz w:val="24"/>
          <w:szCs w:val="24"/>
          <w:highlight w:val="none"/>
        </w:rPr>
        <w:t>参</w:t>
      </w:r>
      <w:r>
        <w:rPr>
          <w:rFonts w:ascii="宋体" w:hAnsi="宋体" w:eastAsia="宋体" w:cs="宋体"/>
          <w:color w:val="auto"/>
          <w:spacing w:val="6"/>
          <w:sz w:val="24"/>
          <w:szCs w:val="24"/>
          <w:highlight w:val="none"/>
        </w:rPr>
        <w:t>加本项目的采购活动。</w:t>
      </w:r>
      <w:r>
        <w:rPr>
          <w:rFonts w:hint="eastAsia" w:ascii="宋体" w:hAnsi="宋体" w:eastAsia="宋体" w:cs="宋体"/>
          <w:b/>
          <w:bCs/>
          <w:color w:val="auto"/>
          <w:sz w:val="24"/>
          <w:szCs w:val="24"/>
          <w:highlight w:val="none"/>
        </w:rPr>
        <w:t>(此项由招标代理机构查询，投标人不提供证明材料)</w:t>
      </w:r>
    </w:p>
    <w:p>
      <w:pPr>
        <w:spacing w:line="240" w:lineRule="auto"/>
        <w:ind w:left="28"/>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2</w:t>
      </w: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rPr>
        <w:t>法定代表人/单位负责人身份证明书原件及有效身份证明材料复印件并加盖投标人公章（法定代表人/单位负责人参加投标时提供）；</w:t>
      </w:r>
    </w:p>
    <w:p>
      <w:pPr>
        <w:spacing w:line="240" w:lineRule="auto"/>
        <w:ind w:left="2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.法定代表人/单位负责人有效身份证明材料复印件及授权委托书原件和授权代表有效身份证明材料复印件并加盖投标人公章（委托代理人参加投标时提供）。</w:t>
      </w:r>
    </w:p>
    <w:p>
      <w:pPr>
        <w:spacing w:line="240" w:lineRule="auto"/>
        <w:ind w:left="24" w:right="94" w:hanging="2"/>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lang w:val="en-US" w:eastAsia="zh-CN"/>
        </w:rPr>
        <w:t>4</w:t>
      </w:r>
      <w:r>
        <w:rPr>
          <w:rFonts w:ascii="宋体" w:hAnsi="宋体" w:eastAsia="宋体" w:cs="宋体"/>
          <w:color w:val="auto"/>
          <w:spacing w:val="18"/>
          <w:sz w:val="24"/>
          <w:szCs w:val="24"/>
          <w:highlight w:val="none"/>
        </w:rPr>
        <w:t>、</w:t>
      </w:r>
      <w:r>
        <w:rPr>
          <w:rFonts w:ascii="宋体" w:hAnsi="宋体" w:eastAsia="宋体" w:cs="宋体"/>
          <w:color w:val="auto"/>
          <w:spacing w:val="10"/>
          <w:sz w:val="24"/>
          <w:szCs w:val="24"/>
          <w:highlight w:val="none"/>
        </w:rPr>
        <w:t>按照本项目招标文件的规定获取了招标文件</w:t>
      </w:r>
      <w:r>
        <w:rPr>
          <w:rFonts w:hint="eastAsia" w:ascii="宋体" w:hAnsi="宋体" w:eastAsia="宋体" w:cs="宋体"/>
          <w:b/>
          <w:bCs/>
          <w:color w:val="auto"/>
          <w:sz w:val="24"/>
          <w:szCs w:val="24"/>
          <w:highlight w:val="none"/>
        </w:rPr>
        <w:t xml:space="preserve"> (投标人不需要对本条提供证明材料，由招标代理机构提供投标人获取招标文件情况的材料) 。</w:t>
      </w:r>
    </w:p>
    <w:p>
      <w:pPr>
        <w:spacing w:line="240" w:lineRule="auto"/>
        <w:rPr>
          <w:color w:val="auto"/>
          <w:sz w:val="24"/>
          <w:szCs w:val="24"/>
          <w:highlight w:val="none"/>
        </w:rPr>
      </w:pPr>
    </w:p>
    <w:p>
      <w:pPr>
        <w:spacing w:line="240" w:lineRule="auto"/>
        <w:ind w:left="23" w:right="96" w:firstLine="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注意：1、本章要求投标人提供的资格证明材料必须加盖投标人印章(鲜章)。</w:t>
      </w:r>
    </w:p>
    <w:p>
      <w:pPr>
        <w:spacing w:line="240" w:lineRule="auto"/>
        <w:ind w:left="23" w:right="96" w:firstLine="4"/>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2、投标人应对其所提供的资格证明材料的来源的合法性、真实性负责。</w:t>
      </w:r>
    </w:p>
    <w:p>
      <w:pPr>
        <w:spacing w:line="240" w:lineRule="auto"/>
        <w:rPr>
          <w:color w:val="auto"/>
          <w:highlight w:val="none"/>
        </w:rPr>
        <w:sectPr>
          <w:headerReference r:id="rId39" w:type="default"/>
          <w:footerReference r:id="rId40" w:type="default"/>
          <w:pgSz w:w="11905" w:h="16838"/>
          <w:pgMar w:top="1417" w:right="1417" w:bottom="1417" w:left="1417" w:header="0" w:footer="1134" w:gutter="0"/>
          <w:cols w:space="0" w:num="1"/>
        </w:sect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3" w:name="_Toc860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第六章 招标项目技术、服务及商务要求</w:t>
      </w:r>
      <w:bookmarkEnd w:id="163"/>
    </w:p>
    <w:p>
      <w:pPr>
        <w:spacing w:line="240" w:lineRule="auto"/>
        <w:ind w:firstLine="480"/>
        <w:rPr>
          <w:rFonts w:asciiTheme="minorEastAsia" w:hAnsiTheme="minorEastAsia" w:eastAsiaTheme="minorEastAsia"/>
          <w:color w:val="auto"/>
          <w:szCs w:val="24"/>
          <w:highlight w:val="none"/>
        </w:rPr>
      </w:pPr>
    </w:p>
    <w:p>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4" w:name="_Toc2090"/>
      <w:bookmarkStart w:id="165" w:name="_Toc213"/>
      <w:r>
        <w:rPr>
          <w:rFonts w:hint="eastAsia" w:ascii="宋体" w:hAnsi="宋体" w:eastAsia="宋体" w:cs="Times New Roman"/>
          <w:b/>
          <w:bCs/>
          <w:color w:val="auto"/>
          <w:kern w:val="44"/>
          <w:sz w:val="23"/>
          <w:szCs w:val="23"/>
          <w:highlight w:val="none"/>
        </w:rPr>
        <w:t>项目概况</w:t>
      </w:r>
      <w:bookmarkEnd w:id="164"/>
      <w:bookmarkEnd w:id="165"/>
    </w:p>
    <w:p>
      <w:pPr>
        <w:spacing w:line="240" w:lineRule="auto"/>
        <w:ind w:left="24" w:right="13" w:firstLine="471"/>
        <w:rPr>
          <w:color w:val="auto"/>
          <w:sz w:val="23"/>
          <w:szCs w:val="23"/>
          <w:highlight w:val="none"/>
        </w:rPr>
      </w:pPr>
      <w:r>
        <w:rPr>
          <w:rFonts w:hint="eastAsia" w:ascii="宋体" w:hAnsi="宋体" w:eastAsia="宋体" w:cs="宋体"/>
          <w:bCs/>
          <w:color w:val="auto"/>
          <w:kern w:val="0"/>
          <w:sz w:val="23"/>
          <w:szCs w:val="23"/>
          <w:highlight w:val="none"/>
          <w:lang w:val="en-US" w:eastAsia="zh-CN"/>
        </w:rPr>
        <w:t>拟通过</w:t>
      </w:r>
      <w:r>
        <w:rPr>
          <w:rFonts w:hint="eastAsia" w:ascii="宋体" w:hAnsi="宋体" w:eastAsia="宋体" w:cs="宋体"/>
          <w:color w:val="auto"/>
          <w:sz w:val="24"/>
          <w:szCs w:val="24"/>
          <w:highlight w:val="none"/>
          <w:lang w:val="en-US" w:eastAsia="zh-CN"/>
        </w:rPr>
        <w:t>公开招标的方式确定一名投标人为为成都市技师学院（成都工贸职业技术学院）2024级新生提供军训服。涉及军训的有四个校区（郫都校区、郫都西校区、新都校区、成华校区）。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计划招生约为：</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人，其中中职</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rPr>
        <w:t>人，高职:</w:t>
      </w:r>
      <w:r>
        <w:rPr>
          <w:rFonts w:hint="eastAsia" w:ascii="宋体" w:hAnsi="宋体" w:eastAsia="宋体" w:cs="宋体"/>
          <w:color w:val="auto"/>
          <w:sz w:val="24"/>
          <w:szCs w:val="24"/>
          <w:highlight w:val="none"/>
          <w:lang w:val="en-US" w:eastAsia="zh-CN"/>
        </w:rPr>
        <w:t>3800</w:t>
      </w:r>
      <w:r>
        <w:rPr>
          <w:rFonts w:hint="eastAsia" w:ascii="宋体" w:hAnsi="宋体" w:eastAsia="宋体" w:cs="宋体"/>
          <w:color w:val="auto"/>
          <w:sz w:val="24"/>
          <w:szCs w:val="24"/>
          <w:highlight w:val="none"/>
        </w:rPr>
        <w:t>人（最终以实际招生为准）。</w:t>
      </w:r>
    </w:p>
    <w:p>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6" w:name="_Toc26284"/>
      <w:r>
        <w:rPr>
          <w:rFonts w:hint="eastAsia" w:ascii="宋体" w:hAnsi="宋体" w:eastAsia="宋体" w:cs="Times New Roman"/>
          <w:b/>
          <w:bCs/>
          <w:color w:val="auto"/>
          <w:kern w:val="44"/>
          <w:sz w:val="23"/>
          <w:szCs w:val="23"/>
          <w:highlight w:val="none"/>
        </w:rPr>
        <w:t>★</w:t>
      </w:r>
      <w:r>
        <w:rPr>
          <w:rFonts w:hint="eastAsia" w:ascii="宋体" w:hAnsi="宋体" w:eastAsia="宋体" w:cs="Times New Roman"/>
          <w:b/>
          <w:bCs/>
          <w:color w:val="auto"/>
          <w:kern w:val="44"/>
          <w:sz w:val="23"/>
          <w:szCs w:val="23"/>
          <w:highlight w:val="none"/>
          <w:lang w:val="en-US" w:eastAsia="zh-CN"/>
        </w:rPr>
        <w:t>采购范围及内容</w:t>
      </w:r>
      <w:bookmarkEnd w:id="166"/>
    </w:p>
    <w:tbl>
      <w:tblPr>
        <w:tblStyle w:val="18"/>
        <w:tblpPr w:leftFromText="180" w:rightFromText="180" w:vertAnchor="text" w:horzAnchor="page" w:tblpX="1202" w:tblpY="306"/>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19"/>
        <w:gridCol w:w="3290"/>
        <w:gridCol w:w="884"/>
        <w:gridCol w:w="1012"/>
        <w:gridCol w:w="139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94" w:type="dxa"/>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09" w:type="dxa"/>
            <w:gridSpan w:val="2"/>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标的名称</w:t>
            </w:r>
          </w:p>
        </w:tc>
        <w:tc>
          <w:tcPr>
            <w:tcW w:w="884" w:type="dxa"/>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12" w:type="dxa"/>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390" w:type="dxa"/>
            <w:noWrap w:val="0"/>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单价最高限价</w:t>
            </w:r>
          </w:p>
        </w:tc>
        <w:tc>
          <w:tcPr>
            <w:tcW w:w="808" w:type="dxa"/>
            <w:noWrap w:val="0"/>
            <w:vAlign w:val="center"/>
          </w:tcPr>
          <w:p>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4"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exact"/>
              <w:jc w:val="center"/>
              <w:rPr>
                <w:rFonts w:hint="eastAsia" w:ascii="宋体" w:hAnsi="宋体" w:eastAsia="宋体" w:cs="宋体"/>
                <w:color w:val="auto"/>
                <w:sz w:val="24"/>
                <w:szCs w:val="24"/>
                <w:highlight w:val="none"/>
              </w:rPr>
            </w:pPr>
          </w:p>
        </w:tc>
        <w:tc>
          <w:tcPr>
            <w:tcW w:w="819"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军训服套装</w:t>
            </w: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迷彩帽</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w:t>
            </w:r>
          </w:p>
        </w:tc>
        <w:tc>
          <w:tcPr>
            <w:tcW w:w="1390" w:type="dxa"/>
            <w:vMerge w:val="restart"/>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120元/套</w:t>
            </w:r>
          </w:p>
        </w:tc>
        <w:tc>
          <w:tcPr>
            <w:tcW w:w="808" w:type="dxa"/>
            <w:vMerge w:val="restart"/>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长袖迷彩军训服（含上衣、下装）</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390"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迷彩T恤</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tc>
        <w:tc>
          <w:tcPr>
            <w:tcW w:w="1390"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编织外腰带</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1390"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迷彩胶鞋</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w:t>
            </w:r>
          </w:p>
        </w:tc>
        <w:tc>
          <w:tcPr>
            <w:tcW w:w="1390" w:type="dxa"/>
            <w:vMerge w:val="continue"/>
            <w:noWrap w:val="0"/>
            <w:vAlign w:val="center"/>
          </w:tcPr>
          <w:p>
            <w:pPr>
              <w:spacing w:line="360" w:lineRule="exact"/>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皮内腰带</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1390"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4"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819" w:type="dxa"/>
            <w:vMerge w:val="continue"/>
            <w:noWrap w:val="0"/>
            <w:vAlign w:val="center"/>
          </w:tcPr>
          <w:p>
            <w:pPr>
              <w:spacing w:line="360" w:lineRule="exact"/>
              <w:jc w:val="center"/>
              <w:rPr>
                <w:rFonts w:hint="eastAsia" w:ascii="宋体" w:hAnsi="宋体" w:eastAsia="宋体" w:cs="宋体"/>
                <w:color w:val="auto"/>
                <w:sz w:val="24"/>
                <w:szCs w:val="24"/>
                <w:highlight w:val="none"/>
              </w:rPr>
            </w:pPr>
          </w:p>
        </w:tc>
        <w:tc>
          <w:tcPr>
            <w:tcW w:w="3290"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肩章</w:t>
            </w:r>
          </w:p>
        </w:tc>
        <w:tc>
          <w:tcPr>
            <w:tcW w:w="884"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2"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w:t>
            </w:r>
          </w:p>
        </w:tc>
        <w:tc>
          <w:tcPr>
            <w:tcW w:w="1390"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c>
          <w:tcPr>
            <w:tcW w:w="808" w:type="dxa"/>
            <w:vMerge w:val="continue"/>
            <w:noWrap w:val="0"/>
            <w:vAlign w:val="center"/>
          </w:tcPr>
          <w:p>
            <w:pPr>
              <w:spacing w:line="360" w:lineRule="exact"/>
              <w:ind w:firstLine="560" w:firstLineChars="200"/>
              <w:jc w:val="center"/>
              <w:rPr>
                <w:rFonts w:hint="eastAsia" w:ascii="宋体" w:hAnsi="宋体" w:eastAsia="宋体" w:cs="宋体"/>
                <w:color w:val="auto"/>
                <w:sz w:val="28"/>
                <w:szCs w:val="28"/>
                <w:highlight w:val="none"/>
              </w:rPr>
            </w:pPr>
          </w:p>
        </w:tc>
      </w:tr>
    </w:tbl>
    <w:p>
      <w:pPr>
        <w:keepNext/>
        <w:keepLines/>
        <w:widowControl w:val="0"/>
        <w:numPr>
          <w:ilvl w:val="0"/>
          <w:numId w:val="5"/>
        </w:numPr>
        <w:spacing w:before="340" w:after="330" w:line="240" w:lineRule="auto"/>
        <w:outlineLvl w:val="1"/>
        <w:rPr>
          <w:rFonts w:hint="eastAsia" w:ascii="宋体" w:hAnsi="宋体" w:eastAsia="宋体" w:cs="Times New Roman"/>
          <w:b/>
          <w:bCs/>
          <w:color w:val="auto"/>
          <w:kern w:val="44"/>
          <w:sz w:val="23"/>
          <w:szCs w:val="23"/>
          <w:highlight w:val="none"/>
          <w:lang w:val="en-US" w:eastAsia="zh-CN"/>
        </w:rPr>
      </w:pPr>
      <w:bookmarkStart w:id="167" w:name="_Toc8745"/>
      <w:r>
        <w:rPr>
          <w:rFonts w:hint="eastAsia" w:ascii="宋体" w:hAnsi="宋体" w:eastAsia="宋体" w:cs="Times New Roman"/>
          <w:b/>
          <w:bCs/>
          <w:color w:val="auto"/>
          <w:kern w:val="44"/>
          <w:sz w:val="23"/>
          <w:szCs w:val="23"/>
          <w:highlight w:val="none"/>
          <w:lang w:val="en-US" w:eastAsia="zh-CN"/>
        </w:rPr>
        <w:t>技术要求（功能和质量要求）</w:t>
      </w:r>
      <w:bookmarkEnd w:id="167"/>
    </w:p>
    <w:tbl>
      <w:tblPr>
        <w:tblStyle w:val="18"/>
        <w:tblpPr w:leftFromText="180" w:rightFromText="180" w:vertAnchor="text" w:horzAnchor="page" w:tblpX="1618" w:tblpY="310"/>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7"/>
        <w:gridCol w:w="1121"/>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center"/>
          </w:tcPr>
          <w:p>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98" w:type="dxa"/>
            <w:gridSpan w:val="2"/>
            <w:noWrap w:val="0"/>
            <w:vAlign w:val="center"/>
          </w:tcPr>
          <w:p>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标的名称</w:t>
            </w:r>
          </w:p>
        </w:tc>
        <w:tc>
          <w:tcPr>
            <w:tcW w:w="6677" w:type="dxa"/>
            <w:noWrap w:val="0"/>
            <w:vAlign w:val="center"/>
          </w:tcPr>
          <w:p>
            <w:pPr>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84" w:type="dxa"/>
            <w:vMerge w:val="restart"/>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p>
            <w:pPr>
              <w:spacing w:line="360" w:lineRule="exact"/>
              <w:jc w:val="center"/>
              <w:rPr>
                <w:rFonts w:hint="eastAsia" w:ascii="仿宋" w:hAnsi="仿宋" w:eastAsia="仿宋" w:cs="仿宋"/>
                <w:color w:val="auto"/>
                <w:sz w:val="24"/>
                <w:highlight w:val="none"/>
              </w:rPr>
            </w:pPr>
          </w:p>
        </w:tc>
        <w:tc>
          <w:tcPr>
            <w:tcW w:w="777" w:type="dxa"/>
            <w:vMerge w:val="restart"/>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军训服套装</w:t>
            </w: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迷彩帽</w:t>
            </w:r>
          </w:p>
        </w:tc>
        <w:tc>
          <w:tcPr>
            <w:tcW w:w="6677" w:type="dxa"/>
            <w:noWrap w:val="0"/>
            <w:vAlign w:val="center"/>
          </w:tcPr>
          <w:p>
            <w:pPr>
              <w:spacing w:line="320" w:lineRule="exact"/>
              <w:jc w:val="left"/>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kern w:val="0"/>
                <w:sz w:val="24"/>
                <w:highlight w:val="none"/>
              </w:rPr>
              <w:t>1.面料：</w:t>
            </w:r>
            <w:r>
              <w:rPr>
                <w:rFonts w:hint="eastAsia" w:ascii="仿宋" w:hAnsi="仿宋" w:eastAsia="仿宋" w:cs="仿宋"/>
                <w:color w:val="auto"/>
                <w:sz w:val="24"/>
                <w:highlight w:val="none"/>
              </w:rPr>
              <w:t>涤棉面料，含棉</w:t>
            </w:r>
            <w:r>
              <w:rPr>
                <w:rFonts w:hint="eastAsia" w:ascii="仿宋" w:hAnsi="仿宋" w:eastAsia="仿宋" w:cs="仿宋"/>
                <w:color w:val="auto"/>
                <w:sz w:val="24"/>
                <w:highlight w:val="none"/>
                <w:lang w:eastAsia="zh-CN"/>
              </w:rPr>
              <w:t>量大于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%；面料缩水率不高于 0.5%；</w:t>
            </w:r>
            <w:r>
              <w:rPr>
                <w:rFonts w:hint="eastAsia" w:ascii="仿宋" w:hAnsi="仿宋" w:eastAsia="仿宋" w:cs="仿宋"/>
                <w:bCs/>
                <w:color w:val="auto"/>
                <w:kern w:val="0"/>
                <w:sz w:val="24"/>
                <w:highlight w:val="none"/>
              </w:rPr>
              <w:t>透气性好，不褪色，易干。</w:t>
            </w:r>
          </w:p>
          <w:p>
            <w:pPr>
              <w:spacing w:line="320" w:lineRule="exact"/>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2.款式：大檐帽，平顶，短檐，有帽徽。</w:t>
            </w:r>
          </w:p>
          <w:p>
            <w:pPr>
              <w:spacing w:line="320" w:lineRule="exact"/>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3.做工：微孔透气，帽檐坚固缝线牢实。</w:t>
            </w:r>
          </w:p>
          <w:p>
            <w:pPr>
              <w:spacing w:line="36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Cs/>
                <w:color w:val="auto"/>
                <w:kern w:val="0"/>
                <w:sz w:val="24"/>
                <w:highlight w:val="none"/>
              </w:rPr>
              <w:t>4.符合《</w:t>
            </w:r>
            <w:r>
              <w:rPr>
                <w:rFonts w:hint="eastAsia" w:ascii="仿宋" w:hAnsi="仿宋" w:eastAsia="仿宋" w:cs="仿宋"/>
                <w:bCs/>
                <w:color w:val="auto"/>
                <w:kern w:val="0"/>
                <w:sz w:val="24"/>
                <w:highlight w:val="none"/>
                <w:lang w:eastAsia="zh-CN"/>
              </w:rPr>
              <w:t>国家纺织产品基本安全技术规范</w:t>
            </w:r>
            <w:r>
              <w:rPr>
                <w:rFonts w:hint="eastAsia" w:ascii="仿宋" w:hAnsi="仿宋" w:eastAsia="仿宋" w:cs="仿宋"/>
                <w:bCs/>
                <w:color w:val="auto"/>
                <w:kern w:val="0"/>
                <w:sz w:val="24"/>
                <w:highlight w:val="none"/>
              </w:rPr>
              <w:t>》GB18401-2010中的</w:t>
            </w:r>
            <w:r>
              <w:rPr>
                <w:rFonts w:hint="eastAsia" w:ascii="仿宋" w:hAnsi="仿宋" w:eastAsia="仿宋" w:cs="仿宋"/>
                <w:bCs/>
                <w:color w:val="auto"/>
                <w:kern w:val="0"/>
                <w:sz w:val="24"/>
                <w:highlight w:val="none"/>
                <w:lang w:val="en-US" w:eastAsia="zh-CN"/>
              </w:rPr>
              <w:t>B</w:t>
            </w:r>
            <w:r>
              <w:rPr>
                <w:rFonts w:hint="eastAsia" w:ascii="仿宋" w:hAnsi="仿宋" w:eastAsia="仿宋" w:cs="仿宋"/>
                <w:bCs/>
                <w:color w:val="auto"/>
                <w:kern w:val="0"/>
                <w:sz w:val="24"/>
                <w:highlight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长袖迷彩军训服（含上衣、下装）</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kern w:val="0"/>
                <w:sz w:val="24"/>
                <w:highlight w:val="none"/>
              </w:rPr>
              <w:t>面料</w:t>
            </w:r>
            <w:r>
              <w:rPr>
                <w:rFonts w:hint="eastAsia" w:ascii="仿宋" w:hAnsi="仿宋" w:eastAsia="仿宋" w:cs="仿宋"/>
                <w:color w:val="auto"/>
                <w:sz w:val="24"/>
                <w:highlight w:val="none"/>
              </w:rPr>
              <w:t>：涤棉面料，含棉</w:t>
            </w:r>
            <w:r>
              <w:rPr>
                <w:rFonts w:hint="eastAsia" w:ascii="仿宋" w:hAnsi="仿宋" w:eastAsia="仿宋" w:cs="仿宋"/>
                <w:color w:val="auto"/>
                <w:sz w:val="24"/>
                <w:highlight w:val="none"/>
                <w:lang w:eastAsia="zh-CN"/>
              </w:rPr>
              <w:t>量大于</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%；面料缩水率不高于 0.5%；不褪色，易干，质地轻盈，透气性强，吸汗；数码迷彩。</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2.款式：可自由调节袖口、裤脚。</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3.做工：服装做工精细，不崩线，钮扣缝线牢实，拉链灵活，结合牢靠不掉齿。</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kern w:val="0"/>
                <w:sz w:val="24"/>
                <w:highlight w:val="none"/>
              </w:rPr>
              <w:t>符合《</w:t>
            </w:r>
            <w:r>
              <w:rPr>
                <w:rFonts w:hint="eastAsia" w:ascii="仿宋" w:hAnsi="仿宋" w:eastAsia="仿宋" w:cs="仿宋"/>
                <w:bCs/>
                <w:color w:val="auto"/>
                <w:kern w:val="0"/>
                <w:sz w:val="24"/>
                <w:highlight w:val="none"/>
                <w:lang w:eastAsia="zh-CN"/>
              </w:rPr>
              <w:t>国家纺织产品基本安全技术规范</w:t>
            </w:r>
            <w:r>
              <w:rPr>
                <w:rFonts w:hint="eastAsia" w:ascii="仿宋" w:hAnsi="仿宋" w:eastAsia="仿宋" w:cs="仿宋"/>
                <w:bCs/>
                <w:color w:val="auto"/>
                <w:kern w:val="0"/>
                <w:sz w:val="24"/>
                <w:highlight w:val="none"/>
              </w:rPr>
              <w:t>》GB18401-2010中的</w:t>
            </w:r>
            <w:r>
              <w:rPr>
                <w:rFonts w:hint="eastAsia" w:ascii="仿宋" w:hAnsi="仿宋" w:eastAsia="仿宋" w:cs="仿宋"/>
                <w:bCs/>
                <w:color w:val="auto"/>
                <w:kern w:val="0"/>
                <w:sz w:val="24"/>
                <w:highlight w:val="none"/>
                <w:lang w:val="en-US" w:eastAsia="zh-CN"/>
              </w:rPr>
              <w:t>B</w:t>
            </w:r>
            <w:r>
              <w:rPr>
                <w:rFonts w:hint="eastAsia" w:ascii="仿宋" w:hAnsi="仿宋" w:eastAsia="仿宋" w:cs="仿宋"/>
                <w:bCs/>
                <w:color w:val="auto"/>
                <w:kern w:val="0"/>
                <w:sz w:val="24"/>
                <w:highlight w:val="none"/>
              </w:rPr>
              <w:t>类标准</w:t>
            </w:r>
            <w:r>
              <w:rPr>
                <w:rFonts w:hint="eastAsia" w:ascii="仿宋" w:hAnsi="仿宋" w:eastAsia="仿宋" w:cs="仿宋"/>
                <w:color w:val="auto"/>
                <w:sz w:val="24"/>
                <w:highlight w:val="none"/>
              </w:rPr>
              <w:t>。</w:t>
            </w:r>
          </w:p>
          <w:p>
            <w:pPr>
              <w:spacing w:line="360" w:lineRule="exact"/>
              <w:rPr>
                <w:rFonts w:hint="eastAsia"/>
              </w:rPr>
            </w:pPr>
            <w:r>
              <w:rPr>
                <w:rFonts w:hint="eastAsia" w:ascii="仿宋" w:hAnsi="仿宋" w:eastAsia="仿宋" w:cs="仿宋"/>
                <w:color w:val="auto"/>
                <w:sz w:val="24"/>
                <w:highlight w:val="none"/>
              </w:rPr>
              <w:t>5.其他：具抗皱免烫性能，耐穿耐磨。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迷彩</w:t>
            </w:r>
          </w:p>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T恤</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★1.面料：含棉100%，手感柔软，不褪色，易干，质地轻盈，透气性强，吸汗。</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2.款式：圆领；短袖。</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3.做工：服装做工精细，不崩线。 </w:t>
            </w:r>
          </w:p>
          <w:p>
            <w:pPr>
              <w:spacing w:line="360" w:lineRule="exact"/>
              <w:jc w:val="left"/>
              <w:rPr>
                <w:rFonts w:hint="eastAsia"/>
              </w:rPr>
            </w:pPr>
            <w:r>
              <w:rPr>
                <w:rFonts w:hint="eastAsia" w:ascii="仿宋" w:hAnsi="仿宋" w:eastAsia="仿宋" w:cs="仿宋"/>
                <w:color w:val="auto"/>
                <w:sz w:val="24"/>
                <w:highlight w:val="none"/>
              </w:rPr>
              <w:t>★4.</w:t>
            </w:r>
            <w:r>
              <w:rPr>
                <w:rFonts w:hint="eastAsia" w:ascii="仿宋" w:hAnsi="仿宋" w:eastAsia="仿宋" w:cs="仿宋"/>
                <w:bCs/>
                <w:color w:val="auto"/>
                <w:kern w:val="0"/>
                <w:sz w:val="24"/>
                <w:highlight w:val="none"/>
              </w:rPr>
              <w:t>符合《</w:t>
            </w:r>
            <w:r>
              <w:rPr>
                <w:rFonts w:hint="eastAsia" w:ascii="仿宋" w:hAnsi="仿宋" w:eastAsia="仿宋" w:cs="仿宋"/>
                <w:bCs/>
                <w:color w:val="auto"/>
                <w:kern w:val="0"/>
                <w:sz w:val="24"/>
                <w:highlight w:val="none"/>
                <w:lang w:eastAsia="zh-CN"/>
              </w:rPr>
              <w:t>国家纺织产品基本安全技术规范</w:t>
            </w:r>
            <w:r>
              <w:rPr>
                <w:rFonts w:hint="eastAsia" w:ascii="仿宋" w:hAnsi="仿宋" w:eastAsia="仿宋" w:cs="仿宋"/>
                <w:bCs/>
                <w:color w:val="auto"/>
                <w:kern w:val="0"/>
                <w:sz w:val="24"/>
                <w:highlight w:val="none"/>
              </w:rPr>
              <w:t>》GB18401-2010中的B类标准</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编织外腰带</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★1.尼龙编织物、塑料扣头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迷彩</w:t>
            </w:r>
          </w:p>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胶鞋</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★1.帆布面料、橡胶鞋底</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2.不得使用再生橡胶底，拉伸强度≥8.0MPa,扯断伸长率（%）≥360，硬度（绍尔A）度≤75，围条与鞋帮粘附强度≥2.0Kn/m。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皮内</w:t>
            </w:r>
          </w:p>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腰带</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★1.人造仿皮质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84"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777" w:type="dxa"/>
            <w:vMerge w:val="continue"/>
            <w:noWrap w:val="0"/>
            <w:vAlign w:val="center"/>
          </w:tcPr>
          <w:p>
            <w:pPr>
              <w:spacing w:line="360" w:lineRule="exact"/>
              <w:jc w:val="center"/>
              <w:rPr>
                <w:rFonts w:hint="eastAsia" w:ascii="仿宋" w:hAnsi="仿宋" w:eastAsia="仿宋" w:cs="仿宋"/>
                <w:color w:val="auto"/>
                <w:sz w:val="24"/>
                <w:highlight w:val="none"/>
              </w:rPr>
            </w:pPr>
          </w:p>
        </w:tc>
        <w:tc>
          <w:tcPr>
            <w:tcW w:w="1121" w:type="dxa"/>
            <w:noWrap w:val="0"/>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肩章</w:t>
            </w:r>
          </w:p>
        </w:tc>
        <w:tc>
          <w:tcPr>
            <w:tcW w:w="6677" w:type="dxa"/>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技师</w:t>
            </w:r>
            <w:r>
              <w:rPr>
                <w:rFonts w:hint="eastAsia" w:ascii="仿宋" w:hAnsi="仿宋" w:eastAsia="仿宋" w:cs="仿宋"/>
                <w:color w:val="auto"/>
                <w:sz w:val="24"/>
                <w:highlight w:val="none"/>
              </w:rPr>
              <w:t>(红硬肩章)、</w:t>
            </w:r>
            <w:r>
              <w:rPr>
                <w:rFonts w:hint="eastAsia" w:ascii="仿宋" w:hAnsi="仿宋" w:eastAsia="仿宋" w:cs="仿宋"/>
                <w:color w:val="auto"/>
                <w:sz w:val="24"/>
                <w:highlight w:val="none"/>
                <w:lang w:eastAsia="zh-CN"/>
              </w:rPr>
              <w:t>工贸</w:t>
            </w:r>
            <w:r>
              <w:rPr>
                <w:rFonts w:hint="eastAsia" w:ascii="仿宋" w:hAnsi="仿宋" w:eastAsia="仿宋" w:cs="仿宋"/>
                <w:color w:val="auto"/>
                <w:sz w:val="24"/>
                <w:highlight w:val="none"/>
              </w:rPr>
              <w:t>（绿硬肩章）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359" w:type="dxa"/>
            <w:gridSpan w:val="4"/>
            <w:noWrap w:val="0"/>
            <w:vAlign w:val="center"/>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eastAsia="zh-CN"/>
              </w:rPr>
              <w:t>工贸</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海洋</w:t>
            </w:r>
            <w:r>
              <w:rPr>
                <w:rFonts w:hint="eastAsia" w:ascii="仿宋" w:hAnsi="仿宋" w:eastAsia="仿宋" w:cs="仿宋"/>
                <w:color w:val="auto"/>
                <w:sz w:val="24"/>
                <w:highlight w:val="none"/>
              </w:rPr>
              <w:t>数码迷彩，</w:t>
            </w:r>
            <w:r>
              <w:rPr>
                <w:rFonts w:hint="eastAsia" w:ascii="仿宋" w:hAnsi="仿宋" w:eastAsia="仿宋" w:cs="仿宋"/>
                <w:color w:val="auto"/>
                <w:sz w:val="24"/>
                <w:highlight w:val="none"/>
                <w:lang w:eastAsia="zh-CN"/>
              </w:rPr>
              <w:t>技师</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林地</w:t>
            </w:r>
            <w:r>
              <w:rPr>
                <w:rFonts w:hint="eastAsia" w:ascii="仿宋" w:hAnsi="仿宋" w:eastAsia="仿宋" w:cs="仿宋"/>
                <w:color w:val="auto"/>
                <w:sz w:val="24"/>
                <w:highlight w:val="none"/>
              </w:rPr>
              <w:t>数码迷彩。</w:t>
            </w:r>
          </w:p>
        </w:tc>
      </w:tr>
    </w:tbl>
    <w:p>
      <w:pPr>
        <w:bidi w:val="0"/>
        <w:spacing w:line="240" w:lineRule="auto"/>
        <w:rPr>
          <w:color w:val="auto"/>
          <w:highlight w:val="none"/>
        </w:rPr>
      </w:pPr>
    </w:p>
    <w:p>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8" w:name="_Toc30142"/>
      <w:bookmarkStart w:id="169" w:name="_Toc602"/>
      <w:r>
        <w:rPr>
          <w:rFonts w:hint="eastAsia" w:ascii="宋体" w:hAnsi="宋体" w:eastAsia="宋体" w:cs="Times New Roman"/>
          <w:b/>
          <w:bCs/>
          <w:color w:val="auto"/>
          <w:kern w:val="44"/>
          <w:sz w:val="23"/>
          <w:szCs w:val="23"/>
          <w:highlight w:val="none"/>
        </w:rPr>
        <w:t>★商务要求</w:t>
      </w:r>
      <w:bookmarkEnd w:id="168"/>
      <w:bookmarkEnd w:id="169"/>
      <w:r>
        <w:rPr>
          <w:rFonts w:hint="eastAsia" w:ascii="宋体" w:hAnsi="宋体" w:eastAsia="宋体" w:cs="Times New Roman"/>
          <w:b/>
          <w:bCs/>
          <w:color w:val="auto"/>
          <w:kern w:val="44"/>
          <w:sz w:val="23"/>
          <w:szCs w:val="23"/>
          <w:highlight w:val="none"/>
        </w:rPr>
        <w:t xml:space="preserve"> </w:t>
      </w:r>
    </w:p>
    <w:p>
      <w:pPr>
        <w:bidi w:val="0"/>
        <w:spacing w:line="240" w:lineRule="auto"/>
        <w:rPr>
          <w:color w:val="auto"/>
          <w:highlight w:val="none"/>
        </w:rPr>
      </w:pPr>
    </w:p>
    <w:tbl>
      <w:tblPr>
        <w:tblStyle w:val="19"/>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32" w:type="dxa"/>
            <w:noWrap w:val="0"/>
            <w:vAlign w:val="center"/>
          </w:tcPr>
          <w:p>
            <w:pPr>
              <w:adjustRightInd w:val="0"/>
              <w:snapToGrid w:val="0"/>
              <w:spacing w:line="320" w:lineRule="exact"/>
              <w:jc w:val="left"/>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履行时间（期限）</w:t>
            </w:r>
          </w:p>
        </w:tc>
        <w:tc>
          <w:tcPr>
            <w:tcW w:w="7266" w:type="dxa"/>
            <w:noWrap w:val="0"/>
            <w:vAlign w:val="top"/>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1.履约期：合同签订之日起至202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2.投标人收到</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书面送货通知之日起,根据</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当次所需要的货物品类以及数量,2个工作日内，按照</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的订单配送。</w:t>
            </w:r>
          </w:p>
          <w:p>
            <w:pPr>
              <w:spacing w:line="360" w:lineRule="exact"/>
              <w:jc w:val="left"/>
              <w:rPr>
                <w:rFonts w:hint="eastAsia" w:ascii="宋体" w:hAnsi="宋体" w:eastAsia="宋体" w:cs="宋体"/>
                <w:color w:val="auto"/>
                <w:sz w:val="21"/>
                <w:szCs w:val="21"/>
                <w:highlight w:val="none"/>
              </w:rPr>
            </w:pPr>
            <w:r>
              <w:rPr>
                <w:rFonts w:hint="eastAsia" w:ascii="仿宋" w:hAnsi="仿宋" w:eastAsia="仿宋" w:cs="仿宋"/>
                <w:color w:val="auto"/>
                <w:sz w:val="24"/>
                <w:highlight w:val="none"/>
              </w:rPr>
              <w:t>3.售后服务期为15个日历天，售后服务期的起始日期为学生购买之日起开始计算。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32" w:type="dxa"/>
            <w:noWrap w:val="0"/>
            <w:vAlign w:val="center"/>
          </w:tcPr>
          <w:p>
            <w:pPr>
              <w:adjustRightInd w:val="0"/>
              <w:snapToGrid w:val="0"/>
              <w:spacing w:line="320" w:lineRule="exact"/>
              <w:jc w:val="center"/>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履行地点（范围）</w:t>
            </w:r>
          </w:p>
        </w:tc>
        <w:tc>
          <w:tcPr>
            <w:tcW w:w="7266" w:type="dxa"/>
            <w:noWrap w:val="0"/>
            <w:vAlign w:val="top"/>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1.成都市郫都区红光街道港通北三路1899号</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2.成都市郫都区红光街道高店路1666号</w:t>
            </w:r>
          </w:p>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3.成都市成华区万年街道外东槐树店路32号</w:t>
            </w:r>
          </w:p>
          <w:p>
            <w:pPr>
              <w:spacing w:line="360" w:lineRule="exact"/>
              <w:jc w:val="left"/>
              <w:rPr>
                <w:rFonts w:hint="eastAsia" w:ascii="宋体" w:hAnsi="宋体" w:eastAsia="宋体" w:cs="宋体"/>
                <w:color w:val="auto"/>
                <w:sz w:val="21"/>
                <w:szCs w:val="21"/>
                <w:highlight w:val="none"/>
                <w:lang w:eastAsia="zh-CN"/>
              </w:rPr>
            </w:pPr>
            <w:r>
              <w:rPr>
                <w:rFonts w:hint="eastAsia" w:ascii="仿宋" w:hAnsi="仿宋" w:eastAsia="仿宋" w:cs="仿宋"/>
                <w:color w:val="auto"/>
                <w:sz w:val="24"/>
                <w:highlight w:val="none"/>
              </w:rPr>
              <w:t>4.成都市新都区西北村301号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32" w:type="dxa"/>
            <w:noWrap w:val="0"/>
            <w:vAlign w:val="center"/>
          </w:tcPr>
          <w:p>
            <w:pPr>
              <w:adjustRightInd w:val="0"/>
              <w:snapToGrid w:val="0"/>
              <w:spacing w:line="320" w:lineRule="exact"/>
              <w:jc w:val="center"/>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付款进度安排、资金支付方式</w:t>
            </w:r>
          </w:p>
        </w:tc>
        <w:tc>
          <w:tcPr>
            <w:tcW w:w="7266" w:type="dxa"/>
            <w:noWrap w:val="0"/>
            <w:vAlign w:val="top"/>
          </w:tcPr>
          <w:p>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1.成交单价为固定包干价格，包括但不限于服装的供货、包装、运输、售后服务（修补、更换）、人工、质检、税费等与完成服装交付的所有费用。</w:t>
            </w:r>
          </w:p>
          <w:p>
            <w:pPr>
              <w:spacing w:line="360" w:lineRule="exact"/>
              <w:jc w:val="left"/>
              <w:rPr>
                <w:rFonts w:hint="eastAsia" w:ascii="宋体" w:hAnsi="宋体" w:eastAsia="宋体" w:cs="宋体"/>
                <w:color w:val="auto"/>
                <w:sz w:val="21"/>
                <w:szCs w:val="21"/>
                <w:highlight w:val="none"/>
              </w:rPr>
            </w:pPr>
            <w:r>
              <w:rPr>
                <w:rFonts w:hint="eastAsia" w:ascii="仿宋" w:hAnsi="仿宋" w:eastAsia="仿宋" w:cs="仿宋"/>
                <w:color w:val="auto"/>
                <w:sz w:val="24"/>
                <w:highlight w:val="none"/>
              </w:rPr>
              <w:t>2.学生在现场可选择微信、支付宝</w:t>
            </w:r>
            <w:r>
              <w:rPr>
                <w:rFonts w:hint="eastAsia" w:ascii="仿宋" w:hAnsi="仿宋" w:eastAsia="仿宋" w:cs="仿宋"/>
                <w:color w:val="auto"/>
                <w:sz w:val="24"/>
                <w:highlight w:val="none"/>
                <w:lang w:val="en-US" w:eastAsia="zh-CN"/>
              </w:rPr>
              <w:t>等非现金形式或</w:t>
            </w:r>
            <w:r>
              <w:rPr>
                <w:rFonts w:hint="eastAsia" w:ascii="仿宋" w:hAnsi="仿宋" w:eastAsia="仿宋" w:cs="仿宋"/>
                <w:color w:val="auto"/>
                <w:sz w:val="24"/>
                <w:highlight w:val="none"/>
              </w:rPr>
              <w:t>现金</w:t>
            </w:r>
            <w:r>
              <w:rPr>
                <w:rFonts w:hint="eastAsia" w:ascii="仿宋" w:hAnsi="仿宋" w:eastAsia="仿宋" w:cs="仿宋"/>
                <w:color w:val="auto"/>
                <w:sz w:val="24"/>
                <w:highlight w:val="none"/>
                <w:lang w:val="en-US" w:eastAsia="zh-CN"/>
              </w:rPr>
              <w:t>形式</w:t>
            </w:r>
            <w:r>
              <w:rPr>
                <w:rFonts w:hint="eastAsia" w:ascii="仿宋" w:hAnsi="仿宋" w:eastAsia="仿宋" w:cs="仿宋"/>
                <w:color w:val="auto"/>
                <w:sz w:val="24"/>
                <w:highlight w:val="none"/>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32" w:type="dxa"/>
            <w:noWrap w:val="0"/>
            <w:vAlign w:val="center"/>
          </w:tcPr>
          <w:p>
            <w:pPr>
              <w:adjustRightInd w:val="0"/>
              <w:snapToGrid w:val="0"/>
              <w:spacing w:line="320" w:lineRule="exact"/>
              <w:jc w:val="center"/>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质量及供货渠道要求</w:t>
            </w:r>
          </w:p>
        </w:tc>
        <w:tc>
          <w:tcPr>
            <w:tcW w:w="7266" w:type="dxa"/>
            <w:noWrap w:val="0"/>
            <w:vAlign w:val="top"/>
          </w:tcPr>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1.投标人应保证服装是全新、未使用过的原装合格正品。尺寸符合国家标准，穿着后无皮肤过敏等问题。</w:t>
            </w:r>
          </w:p>
          <w:p>
            <w:pPr>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4"/>
                <w:highlight w:val="none"/>
              </w:rPr>
              <w:t>2.投标人提供的服装必须符合本项目招标文件规定的质量、规格的要求。如果投标人提供的服装的质量或规格与招标文件和投标人的投标文件不符，或证实服装是有缺陷的，包括潜在的缺陷等，投标人应在接到</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通知后12小时内完成换货，因换货产生的费用由投标人承担，如因不合格服装给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及学生造成损失，投标人还应承担赔偿责任。因服装质量问题产生的质监处罚、医疗缺陷和医疗纠纷</w:t>
            </w:r>
            <w:r>
              <w:rPr>
                <w:rFonts w:hint="eastAsia" w:ascii="仿宋" w:hAnsi="仿宋" w:eastAsia="仿宋" w:cs="仿宋"/>
                <w:color w:val="auto"/>
                <w:sz w:val="24"/>
                <w:highlight w:val="none"/>
                <w:lang w:val="en-US" w:eastAsia="zh-CN"/>
              </w:rPr>
              <w:t>等问题</w:t>
            </w:r>
            <w:r>
              <w:rPr>
                <w:rFonts w:hint="eastAsia" w:ascii="仿宋" w:hAnsi="仿宋" w:eastAsia="仿宋" w:cs="仿宋"/>
                <w:color w:val="auto"/>
                <w:sz w:val="24"/>
                <w:highlight w:val="none"/>
              </w:rPr>
              <w:t>均由投标人负全部经济和法律责任。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32" w:type="dxa"/>
            <w:noWrap w:val="0"/>
            <w:vAlign w:val="center"/>
          </w:tcPr>
          <w:p>
            <w:pPr>
              <w:adjustRightInd w:val="0"/>
              <w:snapToGrid w:val="0"/>
              <w:spacing w:line="320" w:lineRule="exact"/>
              <w:jc w:val="center"/>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包装和运输要求</w:t>
            </w:r>
          </w:p>
        </w:tc>
        <w:tc>
          <w:tcPr>
            <w:tcW w:w="7266" w:type="dxa"/>
            <w:noWrap w:val="0"/>
            <w:vAlign w:val="top"/>
          </w:tcPr>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1.投标人严格按照</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送货要求按时、按质、按量配送服装，送达</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指定地点后负责服装的发放。</w:t>
            </w:r>
          </w:p>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如有紧急配送需求时，投标人应积极配合，并按时、按质、按量配送服装。</w:t>
            </w:r>
          </w:p>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有调、换货需求时，投标人应积极配合调、换货，并按时、按质、按量配送服装。</w:t>
            </w:r>
          </w:p>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4.若服装有质量问题的，投标人应无条件更换。</w:t>
            </w:r>
          </w:p>
          <w:p>
            <w:pPr>
              <w:pStyle w:val="8"/>
              <w:spacing w:line="400" w:lineRule="exact"/>
              <w:ind w:firstLine="0" w:firstLineChars="0"/>
              <w:rPr>
                <w:rFonts w:hint="eastAsia" w:ascii="宋体" w:hAnsi="宋体" w:eastAsia="宋体" w:cs="宋体"/>
                <w:color w:val="auto"/>
                <w:sz w:val="21"/>
                <w:szCs w:val="21"/>
                <w:highlight w:val="none"/>
              </w:rPr>
            </w:pPr>
            <w:r>
              <w:rPr>
                <w:rFonts w:hint="eastAsia" w:ascii="仿宋" w:hAnsi="仿宋" w:eastAsia="仿宋" w:cs="仿宋"/>
                <w:color w:val="auto"/>
                <w:sz w:val="24"/>
                <w:szCs w:val="24"/>
                <w:highlight w:val="none"/>
              </w:rPr>
              <w:t>5.服装必须标明：产品型号、规格、原料成份和材质含量及等级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32" w:type="dxa"/>
            <w:noWrap w:val="0"/>
            <w:vAlign w:val="center"/>
          </w:tcPr>
          <w:p>
            <w:pPr>
              <w:adjustRightInd w:val="0"/>
              <w:snapToGrid w:val="0"/>
              <w:spacing w:line="320" w:lineRule="exact"/>
              <w:jc w:val="center"/>
              <w:rPr>
                <w:rFonts w:hint="eastAsia" w:ascii="宋体" w:hAnsi="宋体" w:eastAsia="宋体" w:cs="宋体"/>
                <w:b w:val="0"/>
                <w:bCs/>
                <w:i w:val="0"/>
                <w:iCs w:val="0"/>
                <w:color w:val="auto"/>
                <w:sz w:val="21"/>
                <w:szCs w:val="21"/>
                <w:highlight w:val="none"/>
              </w:rPr>
            </w:pPr>
            <w:r>
              <w:rPr>
                <w:rFonts w:hint="eastAsia" w:ascii="仿宋_GB2312" w:hAnsi="仿宋_GB2312" w:eastAsia="仿宋_GB2312" w:cs="仿宋_GB2312"/>
                <w:bCs/>
                <w:color w:val="auto"/>
                <w:sz w:val="28"/>
                <w:szCs w:val="28"/>
                <w:highlight w:val="none"/>
              </w:rPr>
              <w:t>售后服务要求</w:t>
            </w:r>
          </w:p>
        </w:tc>
        <w:tc>
          <w:tcPr>
            <w:tcW w:w="7266" w:type="dxa"/>
            <w:noWrap w:val="0"/>
            <w:vAlign w:val="top"/>
          </w:tcPr>
          <w:p>
            <w:pPr>
              <w:pStyle w:val="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1.学生购买服装之日起15日内若出现服装破损、褪色或学生皮肤不适等情况，投标人在接到</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通知后12小时内完成修补或替换。</w:t>
            </w:r>
          </w:p>
          <w:p>
            <w:pPr>
              <w:pStyle w:val="8"/>
              <w:spacing w:line="400" w:lineRule="exact"/>
              <w:ind w:firstLine="0" w:firstLineChars="0"/>
              <w:rPr>
                <w:rFonts w:hint="eastAsia" w:ascii="宋体" w:hAnsi="宋体" w:eastAsia="宋体" w:cs="宋体"/>
                <w:color w:val="auto"/>
                <w:sz w:val="21"/>
                <w:szCs w:val="21"/>
                <w:highlight w:val="none"/>
              </w:rPr>
            </w:pPr>
            <w:r>
              <w:rPr>
                <w:rFonts w:hint="eastAsia" w:ascii="仿宋" w:hAnsi="仿宋" w:eastAsia="仿宋" w:cs="仿宋"/>
                <w:color w:val="auto"/>
                <w:sz w:val="24"/>
                <w:szCs w:val="24"/>
                <w:highlight w:val="none"/>
              </w:rPr>
              <w:t>2.投标人当批次服装发放完毕后，投标人提供10%的备货，存放在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指定地点，便于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临时补发，备货服装费按实际发生量结合成交单价在军训结束后结算。</w:t>
            </w:r>
          </w:p>
        </w:tc>
      </w:tr>
    </w:tbl>
    <w:p>
      <w:pPr>
        <w:spacing w:line="240" w:lineRule="auto"/>
        <w:ind w:right="35" w:firstLine="480" w:firstLineChars="200"/>
        <w:rPr>
          <w:rFonts w:hint="eastAsia"/>
          <w:color w:val="auto"/>
          <w:sz w:val="24"/>
          <w:szCs w:val="24"/>
          <w:highlight w:val="none"/>
          <w:lang w:val="en-US" w:eastAsia="zh-CN"/>
        </w:rPr>
      </w:pPr>
    </w:p>
    <w:p>
      <w:pPr>
        <w:keepNext/>
        <w:keepLines/>
        <w:widowControl w:val="0"/>
        <w:numPr>
          <w:ilvl w:val="0"/>
          <w:numId w:val="5"/>
        </w:numPr>
        <w:spacing w:before="340" w:after="330" w:line="240" w:lineRule="auto"/>
        <w:outlineLvl w:val="1"/>
        <w:rPr>
          <w:rFonts w:hint="eastAsia" w:ascii="宋体" w:hAnsi="宋体" w:eastAsia="宋体" w:cs="宋体"/>
          <w:b/>
          <w:bCs/>
          <w:color w:val="auto"/>
          <w:sz w:val="24"/>
          <w:szCs w:val="24"/>
          <w:highlight w:val="none"/>
          <w:lang w:val="en-US" w:eastAsia="zh-CN"/>
        </w:rPr>
      </w:pPr>
      <w:bookmarkStart w:id="170" w:name="_Toc8889"/>
      <w:r>
        <w:rPr>
          <w:rFonts w:hint="eastAsia" w:ascii="Times New Roman" w:hAnsi="Times New Roman" w:eastAsia="宋体" w:cs="Times New Roman"/>
          <w:b/>
          <w:bCs/>
          <w:color w:val="auto"/>
          <w:sz w:val="28"/>
          <w:szCs w:val="28"/>
          <w:highlight w:val="none"/>
        </w:rPr>
        <w:t>★</w:t>
      </w:r>
      <w:r>
        <w:rPr>
          <w:rFonts w:hint="eastAsia" w:ascii="宋体" w:hAnsi="宋体" w:eastAsia="宋体" w:cs="宋体"/>
          <w:b/>
          <w:bCs/>
          <w:color w:val="auto"/>
          <w:sz w:val="24"/>
          <w:szCs w:val="24"/>
          <w:highlight w:val="none"/>
          <w:lang w:eastAsia="zh-CN"/>
        </w:rPr>
        <w:t>履约保证金要求</w:t>
      </w:r>
      <w:bookmarkEnd w:id="170"/>
    </w:p>
    <w:p>
      <w:pPr>
        <w:spacing w:line="240" w:lineRule="auto"/>
        <w:ind w:right="35"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履约保证金为30000元，（大写：人民币叁万元整），投标人应在中标通知书发出之日起至合同签订前以银行转账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形式向招标人提交履约保证金。</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履行合同约定(含售后服务)完毕且货物和售后服务全部验收合格后，无质量问题和违约责任情况。10个日历天内无息退还投标人应退部分履约保证金。因招标人原因逾期退还的，应当以未退还金额为基数，按合同订立时1年期贷款市场报价利率标准向投标人支付相应违约金，但违约金最高不得超过未退还金额的百分之二十。若因投标人不及时或未提供“收到退还履约保证金的收据”、“履约保证金退还申请”的，则招标人不承担逾期退还违约责任。</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3.履约保证金汇入的银行及账号：</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收款账号：成都市技师学院</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开户行：工行四川成都红光支行</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银行账号：4402054609100031151</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履约保证金不予退还情形:一是投标人未按合同要求履行的，其履约保证金全部扣除。二是投标人缴纳了履约保证金，但因自身原因被取消成交资格或在成交公示期满之日起30个日历天(含法定节假日)内投标人不按招标文件确定的事项与招标人签订合同的，其履约保证金不予退还。三是法律法规或合同约定的其他情形。</w:t>
      </w:r>
    </w:p>
    <w:p>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bookmarkStart w:id="171" w:name="_Toc21491"/>
      <w:r>
        <w:rPr>
          <w:rFonts w:hint="eastAsia" w:ascii="宋体" w:hAnsi="宋体" w:eastAsia="宋体" w:cs="宋体"/>
          <w:b/>
          <w:bCs/>
          <w:color w:val="auto"/>
          <w:kern w:val="44"/>
          <w:sz w:val="24"/>
          <w:szCs w:val="24"/>
          <w:highlight w:val="none"/>
          <w:lang w:eastAsia="zh-CN"/>
        </w:rPr>
        <w:t>方案要求</w:t>
      </w:r>
      <w:bookmarkEnd w:id="171"/>
      <w:r>
        <w:rPr>
          <w:rFonts w:hint="eastAsia" w:ascii="宋体" w:hAnsi="宋体" w:eastAsia="宋体" w:cs="宋体"/>
          <w:b/>
          <w:bCs/>
          <w:color w:val="auto"/>
          <w:kern w:val="44"/>
          <w:sz w:val="24"/>
          <w:szCs w:val="24"/>
          <w:highlight w:val="none"/>
          <w:lang w:eastAsia="zh-CN"/>
        </w:rPr>
        <w:t>（实施方案、售后服务方案等）</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1.投标人制定详细的项目实施方案，至少包含备货、配送、质量保证措施、应急措施等。</w:t>
      </w:r>
    </w:p>
    <w:p>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2.投标人制定详细的售后服务方案，至少包含服务人员配置、故障响应时间、响应方式、售后服务期内的维护措施等。</w:t>
      </w:r>
    </w:p>
    <w:p>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bookmarkStart w:id="172" w:name="_Toc18869"/>
      <w:r>
        <w:rPr>
          <w:rFonts w:hint="eastAsia" w:ascii="宋体" w:hAnsi="宋体" w:eastAsia="宋体" w:cs="宋体"/>
          <w:b/>
          <w:bCs/>
          <w:color w:val="auto"/>
          <w:kern w:val="44"/>
          <w:sz w:val="24"/>
          <w:szCs w:val="24"/>
          <w:highlight w:val="none"/>
          <w:lang w:val="en-US" w:eastAsia="zh-CN"/>
        </w:rPr>
        <w:t>样品要求</w:t>
      </w:r>
      <w:bookmarkEnd w:id="172"/>
    </w:p>
    <w:p>
      <w:pPr>
        <w:ind w:right="35" w:firstLine="52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1.投标人应在递交投标文件同时提交样品（军训服套装一套)。样品须在投标截止时间前送达，在投标截止时间后提交的任何形式的样品，均将拒绝接收。</w:t>
      </w:r>
    </w:p>
    <w:p>
      <w:pPr>
        <w:ind w:right="35" w:firstLine="52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2.样品单独密封包装,均为盲样（不得具有标注投标人名称、产品品牌、生产厂家等的信息的商标、背标、洗标等）。样品的设计、生产、运输费、保管费等一切费用由投标人自行承担。 </w:t>
      </w:r>
    </w:p>
    <w:p>
      <w:pPr>
        <w:ind w:right="35" w:firstLine="520" w:firstLineChars="200"/>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3.中标投标人样品封样留存，作为交货验收的依据。其他未中标投标人的样品在收到中标结果通知书后7个工作日内领回，逾期的将视为投标人放弃领回。代理机构有权对进行集中处置且不承担任何责任。</w:t>
      </w:r>
    </w:p>
    <w:p>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r>
        <w:rPr>
          <w:rFonts w:hint="eastAsia" w:ascii="宋体" w:hAnsi="宋体" w:eastAsia="宋体" w:cs="宋体"/>
          <w:b/>
          <w:bCs/>
          <w:color w:val="auto"/>
          <w:kern w:val="44"/>
          <w:sz w:val="24"/>
          <w:szCs w:val="24"/>
          <w:highlight w:val="none"/>
          <w:lang w:val="en-US" w:eastAsia="zh-CN"/>
        </w:rPr>
        <w:t>履约验收方案</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1.验收的主体：成都市技师学院</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2.验收时间及程序：</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（1）货物验收：投标人将当批次服装送达指定地点的当天，招标人随机抽取10％进行验收。</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（2）售后服务验收：当批次服装售后服务期结束，自招标人收到售后服务验收申请之日起5个工作日内组织验收</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3.验收方式：单位内部验收 </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4.验收的内容：</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（1）验收内容包括品牌、型号、数量、外观等每一项技术和商务要求（不含售后服务）的履约情况；</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（2）售后服务验收内容包括售后服务要求中每一项要求的履约情况。</w:t>
      </w:r>
    </w:p>
    <w:p>
      <w:pPr>
        <w:pStyle w:val="2"/>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5.验收标准：按国家有关规定以及招标人招标文件的质量要求和技术指标、投标人的投标文件及承诺与本合同约定标准进行验收；其他未尽事宜应参照《财政部关于进一步加强政府采购需求和履约验收管理的指导意见》(财库〔2016〕205号)的要求进行验收。</w:t>
      </w:r>
    </w:p>
    <w:p>
      <w:pPr>
        <w:pStyle w:val="2"/>
        <w:ind w:firstLine="520" w:firstLineChars="200"/>
        <w:rPr>
          <w:rFonts w:hint="eastAsia"/>
          <w:lang w:val="en-US" w:eastAsia="zh-CN"/>
        </w:rPr>
      </w:pPr>
      <w:r>
        <w:rPr>
          <w:rFonts w:hint="eastAsia" w:ascii="宋体" w:hAnsi="宋体" w:eastAsia="宋体" w:cs="宋体"/>
          <w:snapToGrid w:val="0"/>
          <w:color w:val="auto"/>
          <w:spacing w:val="10"/>
          <w:sz w:val="24"/>
          <w:szCs w:val="24"/>
          <w:highlight w:val="none"/>
          <w:lang w:val="en-US" w:eastAsia="zh-CN" w:bidi="ar-SA"/>
        </w:rPr>
        <w:t>6.交付标准和方法：投标人按合同约定提供服装和售后服务且该批次验收合格，视为投标人完成当批次服装的交付。</w:t>
      </w:r>
    </w:p>
    <w:p>
      <w:pPr>
        <w:spacing w:line="240" w:lineRule="auto"/>
        <w:rPr>
          <w:color w:val="auto"/>
          <w:sz w:val="24"/>
          <w:szCs w:val="24"/>
          <w:highlight w:val="none"/>
        </w:rPr>
      </w:pPr>
    </w:p>
    <w:p>
      <w:pPr>
        <w:spacing w:line="240" w:lineRule="auto"/>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注：本章中标注“★”的条款为实质性要求，不允许有负偏离，有任意一项负偏离的，作无效投标处理</w:t>
      </w:r>
      <w:r>
        <w:rPr>
          <w:rFonts w:hint="eastAsia" w:ascii="宋体" w:hAnsi="宋体" w:eastAsia="宋体" w:cs="宋体"/>
          <w:color w:val="auto"/>
          <w:spacing w:val="9"/>
          <w:position w:val="1"/>
          <w:sz w:val="24"/>
          <w:szCs w:val="24"/>
          <w:highlight w:val="none"/>
          <w14:textOutline w14:w="4356" w14:cap="sq" w14:cmpd="sng" w14:algn="ctr">
            <w14:solidFill>
              <w14:srgbClr w14:val="000000"/>
            </w14:solidFill>
            <w14:prstDash w14:val="solid"/>
            <w14:bevel/>
          </w14:textOutline>
        </w:rPr>
        <w:t>。</w:t>
      </w:r>
    </w:p>
    <w:p>
      <w:pPr>
        <w:spacing w:line="240" w:lineRule="auto"/>
        <w:rPr>
          <w:color w:val="auto"/>
          <w:highlight w:val="none"/>
        </w:rPr>
      </w:pPr>
    </w:p>
    <w:p>
      <w:pPr>
        <w:spacing w:line="240" w:lineRule="auto"/>
        <w:rPr>
          <w:color w:val="auto"/>
          <w:highlight w:val="none"/>
        </w:rPr>
      </w:pPr>
    </w:p>
    <w:p>
      <w:pPr>
        <w:spacing w:line="240" w:lineRule="auto"/>
        <w:rPr>
          <w:color w:val="auto"/>
          <w:highlight w:val="none"/>
        </w:rPr>
        <w:sectPr>
          <w:headerReference r:id="rId41" w:type="default"/>
          <w:footerReference r:id="rId42" w:type="default"/>
          <w:pgSz w:w="11905" w:h="16838"/>
          <w:pgMar w:top="1417" w:right="1417" w:bottom="1417" w:left="1417" w:header="0" w:footer="1134" w:gutter="0"/>
          <w:cols w:space="0" w:num="1"/>
        </w:sect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73" w:name="_Toc19151"/>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第七章  评标办法</w:t>
      </w:r>
      <w:bookmarkEnd w:id="173"/>
    </w:p>
    <w:p>
      <w:pPr>
        <w:spacing w:line="240" w:lineRule="auto"/>
        <w:ind w:firstLine="482" w:firstLineChars="200"/>
        <w:outlineLvl w:val="1"/>
        <w:rPr>
          <w:rFonts w:ascii="宋体" w:hAnsi="宋体" w:eastAsia="宋体" w:cs="宋体"/>
          <w:b/>
          <w:bCs/>
          <w:color w:val="auto"/>
          <w:sz w:val="24"/>
          <w:szCs w:val="24"/>
          <w:highlight w:val="none"/>
        </w:rPr>
      </w:pPr>
      <w:bookmarkStart w:id="174" w:name="_Toc5040"/>
      <w:bookmarkStart w:id="175" w:name="_Toc622"/>
      <w:bookmarkStart w:id="176" w:name="_Toc25682"/>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总则</w:t>
      </w:r>
      <w:bookmarkEnd w:id="174"/>
      <w:bookmarkEnd w:id="175"/>
      <w:bookmarkEnd w:id="176"/>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1.1 根据《中华人民共和国政府采购法》《中华人民共和国政府采购法实施条例》《政府采购货物和服务招标投标管理办法》等法律制度，结合采购项目特点制定本评标办法。</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 评标工作由招标代理机构负责组织，具体评标事务由招标代理机构依法组建的评标委员会负责。评标委员会由招标人代表和有关技术、经济、法律等方面的专家组成。</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 评标工作应遵循公平、公正、科学及择优的原则，并以相同的评标程序和标准对待所有的投标人。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 评标委员会按照招标文件规定的评标方法和标准进行评标，并独立履行下列职责：</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1.4.1 熟悉和理解招标文件；</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1.4.2 审查投标人投标文件等是否满足招标文件要求，并作出评价；</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1.4.3 根据需要要求招标采购单位对招标文件作出解释；根据需要要求投标人对投标文件有关事项作出澄清、说明或者更正；</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 推荐中标候选人，或者受招标人委托确定中标人；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1.4.5 起草评标报告并进行签署；</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1.4.6 向招标采购单位、财政部门或者其他监督部门报告非法干预评标工作的行为；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1.4.7 法律、法规和规章规定的其他职责。</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1.5 评标过程独立、保密。投标人非法干预</w:t>
      </w:r>
      <w:r>
        <w:rPr>
          <w:rFonts w:hint="eastAsia" w:ascii="宋体" w:hAnsi="宋体" w:eastAsia="宋体" w:cs="宋体"/>
          <w:color w:val="auto"/>
          <w:spacing w:val="6"/>
          <w:sz w:val="24"/>
          <w:szCs w:val="24"/>
          <w:highlight w:val="none"/>
          <w:lang w:eastAsia="zh-CN"/>
        </w:rPr>
        <w:t>评标</w:t>
      </w:r>
      <w:r>
        <w:rPr>
          <w:rFonts w:hint="eastAsia" w:ascii="宋体" w:hAnsi="宋体" w:eastAsia="宋体" w:cs="宋体"/>
          <w:color w:val="auto"/>
          <w:spacing w:val="6"/>
          <w:sz w:val="24"/>
          <w:szCs w:val="24"/>
          <w:highlight w:val="none"/>
        </w:rPr>
        <w:t>过程的行为将导致其投标文件作为无效处理。</w:t>
      </w:r>
    </w:p>
    <w:p>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 评标委员会评价投标文件的响应性，对于投标人而言，除评标委员会要求其澄清、说明或者更正而提供的资料外，仅依据投标文件本身的内容，不寻求其他外部证据。</w:t>
      </w:r>
    </w:p>
    <w:p>
      <w:pPr>
        <w:spacing w:line="240" w:lineRule="auto"/>
        <w:ind w:firstLine="482" w:firstLineChars="200"/>
        <w:outlineLvl w:val="1"/>
        <w:rPr>
          <w:rFonts w:ascii="宋体" w:hAnsi="宋体" w:eastAsia="宋体" w:cs="宋体"/>
          <w:b/>
          <w:bCs/>
          <w:color w:val="auto"/>
          <w:sz w:val="24"/>
          <w:szCs w:val="24"/>
          <w:highlight w:val="none"/>
        </w:rPr>
      </w:pPr>
      <w:bookmarkStart w:id="177" w:name="_Toc26276"/>
      <w:bookmarkStart w:id="178" w:name="_Toc13707"/>
      <w:bookmarkStart w:id="179" w:name="_Toc15913"/>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评标方法</w:t>
      </w:r>
      <w:bookmarkEnd w:id="177"/>
      <w:bookmarkEnd w:id="178"/>
      <w:bookmarkEnd w:id="179"/>
    </w:p>
    <w:p>
      <w:pPr>
        <w:spacing w:before="75" w:line="240" w:lineRule="auto"/>
        <w:ind w:left="504"/>
        <w:rPr>
          <w:rFonts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本项目评标方法为：</w:t>
      </w:r>
      <w:r>
        <w:rPr>
          <w:rFonts w:hint="eastAsia" w:ascii="宋体" w:hAnsi="宋体" w:eastAsia="宋体" w:cs="宋体"/>
          <w:b/>
          <w:bCs/>
          <w:color w:val="auto"/>
          <w:sz w:val="24"/>
          <w:szCs w:val="24"/>
          <w:highlight w:val="none"/>
        </w:rPr>
        <w:t>综合评分法</w:t>
      </w:r>
      <w:r>
        <w:rPr>
          <w:rFonts w:ascii="宋体" w:hAnsi="宋体" w:eastAsia="宋体" w:cs="宋体"/>
          <w:color w:val="auto"/>
          <w:spacing w:val="8"/>
          <w:sz w:val="24"/>
          <w:szCs w:val="24"/>
          <w:highlight w:val="none"/>
        </w:rPr>
        <w:t>。</w:t>
      </w:r>
    </w:p>
    <w:p>
      <w:pPr>
        <w:spacing w:line="240" w:lineRule="auto"/>
        <w:ind w:firstLine="482" w:firstLineChars="200"/>
        <w:outlineLvl w:val="1"/>
        <w:rPr>
          <w:rFonts w:ascii="宋体" w:hAnsi="宋体" w:eastAsia="宋体" w:cs="宋体"/>
          <w:b/>
          <w:bCs/>
          <w:color w:val="auto"/>
          <w:sz w:val="24"/>
          <w:szCs w:val="24"/>
          <w:highlight w:val="none"/>
        </w:rPr>
      </w:pPr>
      <w:bookmarkStart w:id="180" w:name="_Toc19465"/>
      <w:bookmarkStart w:id="181" w:name="_Toc11326"/>
      <w:bookmarkStart w:id="182" w:name="_Toc30788"/>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评标程序</w:t>
      </w:r>
      <w:bookmarkEnd w:id="180"/>
      <w:bookmarkEnd w:id="181"/>
      <w:bookmarkEnd w:id="182"/>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招标人或者招标代理机构应当依法对投标人的资格进行审查，合格投标人不少于3人时，进入评标委员会正式评标环节。</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熟悉和理解招标文件和停止评标。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评标委员会正式评标前，应当对招标文件进行熟悉和理解，内容主要包括招标文件中实质性要求、采购项目技术、服务和商务要求、评标方法和标准以及可能涉及签订采购合同的内容等。</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 评标委员会熟悉和理解招标文件以及评标过程中，发现本招标文件有下列情形之一的，评标委员会应当停止评标：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3.1.2.1 招标文件的规定存在歧义、重大缺陷的；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3.1.2.2 招标文件明显以不合理条件对供应商实行差别待遇或者歧视待遇的；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3.1.2.3 采购项目属于国家规定的优先、强制采购范围，但是招标文件未依法体现优先、强制采购相关规定的；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3.1.2.4 采购项目属于政府采购促进中小企业发展的范围，但是招标文件未依法体现促进中小企业发展相关规定的；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3.1.2.5 招标文件规定的评标方法是综合评分法、最低评标价法之外的评标方法，或者虽然名称为综合评分法、最低评标价法，但实际上不符合国家规定；</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3.1.2.6 招标文件将投标人的资格条件列为评分因素的；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3.1.2.7 招标文件有违反国家其他有关强制性规定的情形。</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3.1.3 出现本条 3.1.2 规定应当停止评标情形的，评标委员会成员应当向招标采购单位书面说明情况。除本条规定和评标委员会无法依法组建的情形外，评标委员会成员不得以任何方式和理由停止评标。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符合性检查。</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 投标文件(包括单独递交的开标一览表)有下列情形的，本项目不作为实质性要求进行规定，即不作为符合性审查事项，不得作为无效投标处理：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3.2.2.1 存在个别地方(不超过2个)没有法定代表人(负责人)签字，但有法定代表人(负责人)的私人印章或者有效授权代理人签字的；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3.2.2.2 除招标文件明确要求加盖单位(法人)公章的以外，其他地方以相关专用章加盖的；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3.2.2.3 以骑缝章的形式代替投标文件内容逐页盖章的(但是骑缝章模糊不清，印章名称无法辨认的除外)；</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3.2.2.4 其他不影响采购项目实质性要求的情形。</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 除政府采购法律制度规定的情形外，本项目投标人或者其投标文件有下列情形之一的，作为无效投标处理：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3.2.3.1 投标文件正副本数量不足的；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3.2.3.2 投标文件未按照招标文件要求签署、盖章的；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3.2.3.3 投标文件组成明显不符合招标文件的规定要求，影响评标委员会评判的；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3.2.3.4 投标文件的格式、语言、计量单位、报价货币、知识产权、投标有效期等不符合招标文件的规定，影响评标委员会评判的；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3.2.3.5 投标报价不符合招标文件规定的价格标底和其他报价规定的；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3.2.3.6 技术应答内容没有完全响应招标文件的实质性要求的；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3.2.3.7 招标文件有明确要求，但投标文件未载明或者载明的采购项目履约时间、方式、数量与招标文件要求不一致的；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3.2.3.8 投标文件含有招标人不能接受的附加条件的。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比较与评价。按招标文件中规定的评标方法和标准，对未作无效投标处理的投标文件进行技术、服务、商务等方面评估，综合比较与评价。</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 复核。评分汇总结束后，评标委员会应当进行复核，特别要对拟推荐为中标候选人的、报价最低的、投标文件被认定为无效的进行重点复核。</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 推荐三名中标候选人。中标候选人应当排序。</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可推荐的中标候选人数量不能满足招标文件规定的数量的，只有在获得招标人书面同意后，可以根据实际情况推荐中标候选供应商。未获得招标人的书面同意,评标委员会不得在招标文件规定之外推荐中标候选人，否则，招标人可以不予认可。</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 出具评标报告。评标委员会推荐中标候选人后，应当向招标采购单位出具评标报告。评标报告应当包括下列内容：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3.6.1 招标公告刊登的媒体名称、开标日期和地点；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3.6.2 获取招标文件的投标人名单和评标委员会成员名单；</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3.6.3 评标方法和标准；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3.6.4 开标记录和评标情况及说明，包括无效投标人名单及原因；</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3.6.5 评标结果和中标候选供应商排序表；</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3.6.6 评标委员会授标建议；</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3.6.7 报价最高的投标人为中标候选人的，评标委员会应当对其报价的合理性予以特别说明。</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3.7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 投标人应当书面澄清、说明或者更正。</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3.8.2 投标人应当书面澄清、说明或者更正，并加盖公章或签字确认(投标人为法人的，应当由其法定代表人/单位负责人或者授权代表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 评标委员会要求投标人澄清、说明或者更正，不得超出招标文件的范围，不得以此让投标人实质改变投标文件的内容，不得影响投标人公平竞争。本项目下列内容不得澄清：</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3.8.3.1 按财政部规定应当在评标时不予承认的投标文件内容事项；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3.8.3.2 投标文件中已经明确的内容事项；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3.8.3.3 投标文件未提供的材料。</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 本项目采购过程中，投标文件出现下列情况的，按照下列规定修正：</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3.8.4.1 投标文件中开标一览表(报价表)内容与投标文件中响应内容不一致的，以开标一览表(报价表)为准；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3.8.4.2 大写金额和小写金额不一致的，以大写金额为准；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3.8.4.3 单价金额小数点或者百分比有明显错位的，以开标一览表的总价为准，并修改单价；</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3.8.4.4 总价金额与按单价汇总金额不一致的，以单价金额计算结果为准。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出现3.8.4.4规定情形，单价汇总金额比总价金额高，且超过采购预算或者本项目最高限价的，投标人投标文件应作为无效投标处理；单价汇总金额比总价金额高，但未超过采购预算或者本项目最高限价的，应以单价汇总金额作为价格评分依据。</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同时出现两种以上不一致的，按照前款规定的顺序修正。修正后的报价经投标人确认后产生约束力，投标人不确认的，其投标无效。</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注：评标委员会当积极履行澄清、说明或者更正的职责，不得滥用权力。投标人的投标文件可以要求澄清、说明或者更正的，不得未经澄清、说明或者更正而直接作无效投标处理。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书面说明应当签字确认或者加盖公章，否则无效。书面说明的签字确认，投标人为法人的，由其法定代表人或其授权代表签字确认；投标人为其他组织的，由其主要负责人或其授权代表签字确认；投标人为自然人的，由其本人或其授权代表签字确认。</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3.10招标采购单位现场复核评标结果。</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3.10.1.1分值汇总计算错误的；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3.10.1.2分项评分超出评分标准范围的；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3.10.1.3评标委员会成员对客观评审因素评分不一致的；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3.10.1.4经评标委员会认定评分畸高、畸低的。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3.10.2有下列情形之一的，不得修改评标结果或者重新评标：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3.10.2.1评标委员会已经出具评标报告并且离开评标现场的；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3.10.2.2招标采购单位现场复核时，复核工作人员数量不足的；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3.10.2.3招标采购单位现场复核时，没有采购监督人员现场监督的；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3.10.2.4招标采购单位现场复核内容超出规定范围的；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3.10.2.5招标采购单位未提供书面建议的。 </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评标细则及标准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3.11.1 本次综合评分的因素是：详见“综合评分明细表”。</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招标人代表原则上对技术类评分因素独立评分。价格和其他不能明确区分的评分因素由评标委员会成员共同评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 综合评分明细表</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3.11.3.1 综合评分明细表的制定以科学合理、降低评委会自由裁量权为原则。</w:t>
      </w:r>
    </w:p>
    <w:p>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3.11.3.2 综合评分明细表</w:t>
      </w:r>
    </w:p>
    <w:p>
      <w:pPr>
        <w:spacing w:line="240" w:lineRule="auto"/>
        <w:rPr>
          <w:color w:val="auto"/>
          <w:sz w:val="2"/>
          <w:highlight w:val="none"/>
        </w:rPr>
      </w:pPr>
    </w:p>
    <w:p>
      <w:pPr>
        <w:spacing w:line="240" w:lineRule="auto"/>
        <w:rPr>
          <w:rFonts w:ascii="宋体" w:hAnsi="宋体" w:eastAsia="宋体" w:cs="宋体"/>
          <w:b/>
          <w:bCs/>
          <w:color w:val="auto"/>
          <w:spacing w:val="6"/>
          <w:sz w:val="28"/>
          <w:szCs w:val="28"/>
          <w:highlight w:val="none"/>
        </w:rPr>
      </w:pPr>
      <w:r>
        <w:rPr>
          <w:rFonts w:ascii="宋体" w:hAnsi="宋体" w:eastAsia="宋体" w:cs="宋体"/>
          <w:b/>
          <w:bCs/>
          <w:color w:val="auto"/>
          <w:spacing w:val="6"/>
          <w:sz w:val="28"/>
          <w:szCs w:val="28"/>
          <w:highlight w:val="none"/>
        </w:rPr>
        <w:br w:type="page"/>
      </w:r>
    </w:p>
    <w:p>
      <w:pPr>
        <w:pStyle w:val="2"/>
        <w:spacing w:line="240" w:lineRule="auto"/>
        <w:rPr>
          <w:color w:val="auto"/>
          <w:highlight w:val="none"/>
        </w:rPr>
      </w:pPr>
    </w:p>
    <w:p>
      <w:pPr>
        <w:spacing w:line="240" w:lineRule="auto"/>
        <w:ind w:firstLine="586" w:firstLineChars="200"/>
        <w:jc w:val="center"/>
        <w:outlineLvl w:val="9"/>
        <w:rPr>
          <w:rFonts w:ascii="宋体" w:hAnsi="宋体" w:eastAsia="宋体" w:cs="宋体"/>
          <w:b/>
          <w:bCs/>
          <w:color w:val="auto"/>
          <w:spacing w:val="6"/>
          <w:sz w:val="28"/>
          <w:szCs w:val="28"/>
          <w:highlight w:val="none"/>
        </w:rPr>
      </w:pPr>
      <w:bookmarkStart w:id="183" w:name="_Toc13872"/>
      <w:bookmarkStart w:id="184" w:name="_Toc22288"/>
      <w:r>
        <w:rPr>
          <w:rFonts w:hint="eastAsia" w:ascii="宋体" w:hAnsi="宋体" w:eastAsia="宋体" w:cs="宋体"/>
          <w:b/>
          <w:bCs/>
          <w:color w:val="auto"/>
          <w:spacing w:val="6"/>
          <w:sz w:val="28"/>
          <w:szCs w:val="28"/>
          <w:highlight w:val="none"/>
        </w:rPr>
        <w:t xml:space="preserve">   综合评分明细表</w:t>
      </w:r>
      <w:bookmarkEnd w:id="183"/>
      <w:bookmarkEnd w:id="184"/>
    </w:p>
    <w:tbl>
      <w:tblPr>
        <w:tblStyle w:val="18"/>
        <w:tblW w:w="0" w:type="auto"/>
        <w:jc w:val="center"/>
        <w:tblLayout w:type="fixed"/>
        <w:tblCellMar>
          <w:top w:w="0" w:type="dxa"/>
          <w:left w:w="108" w:type="dxa"/>
          <w:bottom w:w="0" w:type="dxa"/>
          <w:right w:w="108" w:type="dxa"/>
        </w:tblCellMar>
      </w:tblPr>
      <w:tblGrid>
        <w:gridCol w:w="813"/>
        <w:gridCol w:w="1071"/>
        <w:gridCol w:w="815"/>
        <w:gridCol w:w="5231"/>
        <w:gridCol w:w="1002"/>
      </w:tblGrid>
      <w:tr>
        <w:tblPrEx>
          <w:tblCellMar>
            <w:top w:w="0" w:type="dxa"/>
            <w:left w:w="108" w:type="dxa"/>
            <w:bottom w:w="0" w:type="dxa"/>
            <w:right w:w="108" w:type="dxa"/>
          </w:tblCellMar>
        </w:tblPrEx>
        <w:trPr>
          <w:trHeight w:val="684"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ind w:firstLine="28"/>
              <w:jc w:val="center"/>
              <w:rPr>
                <w:rFonts w:hint="eastAsia" w:ascii="宋体" w:hAnsi="宋体" w:eastAsia="宋体" w:cs="宋体"/>
                <w:b/>
                <w:color w:val="auto"/>
                <w:sz w:val="24"/>
                <w:szCs w:val="24"/>
                <w:highlight w:val="none"/>
              </w:rPr>
            </w:pPr>
            <w:bookmarkStart w:id="185" w:name="_Toc1463"/>
            <w:r>
              <w:rPr>
                <w:rFonts w:hint="eastAsia" w:ascii="宋体" w:hAnsi="宋体" w:eastAsia="宋体" w:cs="宋体"/>
                <w:b/>
                <w:color w:val="auto"/>
                <w:sz w:val="24"/>
                <w:szCs w:val="24"/>
                <w:highlight w:val="none"/>
              </w:rPr>
              <w:t>序号</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autoSpaceDN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因素</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权重分值</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02" w:type="dxa"/>
            <w:tcBorders>
              <w:top w:val="single" w:color="000000" w:sz="4" w:space="0"/>
              <w:bottom w:val="single" w:color="000000" w:sz="4" w:space="0"/>
              <w:right w:val="single" w:color="000000" w:sz="4" w:space="0"/>
            </w:tcBorders>
            <w:noWrap w:val="0"/>
            <w:vAlign w:val="center"/>
          </w:tcPr>
          <w:p>
            <w:pPr>
              <w:autoSpaceDN w:val="0"/>
              <w:spacing w:line="400" w:lineRule="exact"/>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CellMar>
            <w:top w:w="0" w:type="dxa"/>
            <w:left w:w="108" w:type="dxa"/>
            <w:bottom w:w="0" w:type="dxa"/>
            <w:right w:w="108" w:type="dxa"/>
          </w:tblCellMar>
        </w:tblPrEx>
        <w:trPr>
          <w:trHeight w:val="35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报价（30%）</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rPr>
              <w:t>分</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1.通过资格性审查和符合性审查的投标人，且投标报价最低的投标报价为评审基准价，其价格分为满分。其他投标人的价格分统一按照下列公式计算：报价得分=(评审基准价／投标报价)×</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rPr>
              <w:t>×100%。</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2.投标报价高于本项目单价最高限价的为无效报价。</w:t>
            </w:r>
          </w:p>
          <w:p>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3.计算结果四舍五入到小数点后2位。</w:t>
            </w:r>
          </w:p>
        </w:tc>
        <w:tc>
          <w:tcPr>
            <w:tcW w:w="1002" w:type="dxa"/>
            <w:tcBorders>
              <w:top w:val="single" w:color="000000" w:sz="4" w:space="0"/>
              <w:bottom w:val="single" w:color="000000" w:sz="4" w:space="0"/>
              <w:right w:val="single" w:color="000000" w:sz="4" w:space="0"/>
            </w:tcBorders>
            <w:noWrap w:val="0"/>
            <w:vAlign w:val="center"/>
          </w:tcPr>
          <w:p>
            <w:pPr>
              <w:autoSpaceDN w:val="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5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技术参数响应性得分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投标的产品满足技术参数及要求中非实质性要求（未加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kern w:val="2"/>
                <w:sz w:val="24"/>
                <w:szCs w:val="24"/>
                <w:highlight w:val="none"/>
                <w:lang w:val="en-US" w:eastAsia="zh-CN"/>
              </w:rPr>
              <w:t>的得20分，每有一项不满足的扣2.5分，直至20分扣完为止。</w:t>
            </w:r>
          </w:p>
        </w:tc>
        <w:tc>
          <w:tcPr>
            <w:tcW w:w="1002" w:type="dxa"/>
            <w:tcBorders>
              <w:top w:val="single" w:color="000000" w:sz="4" w:space="0"/>
              <w:bottom w:val="single" w:color="000000" w:sz="4" w:space="0"/>
              <w:right w:val="single" w:color="000000" w:sz="4" w:space="0"/>
            </w:tcBorders>
            <w:noWrap w:val="0"/>
            <w:vAlign w:val="center"/>
          </w:tcPr>
          <w:p>
            <w:pPr>
              <w:autoSpaceDN w:val="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5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年1月1日（含1日）以来每有一个服装供应业绩的得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说明：提供完整版合同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中标（成交）通知书复印件</w:t>
            </w:r>
            <w:r>
              <w:rPr>
                <w:rFonts w:hint="eastAsia" w:ascii="宋体" w:hAnsi="宋体" w:eastAsia="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p>
        </w:tc>
        <w:tc>
          <w:tcPr>
            <w:tcW w:w="1002" w:type="dxa"/>
            <w:tcBorders>
              <w:top w:val="single" w:color="000000" w:sz="4" w:space="0"/>
              <w:bottom w:val="single" w:color="000000" w:sz="4" w:space="0"/>
              <w:right w:val="single" w:color="000000" w:sz="4" w:space="0"/>
            </w:tcBorders>
            <w:noWrap w:val="0"/>
            <w:vAlign w:val="center"/>
          </w:tcPr>
          <w:p>
            <w:pPr>
              <w:autoSpaceDN w:val="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50"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1.根据投标人制定的项目实施方案进行综合评审，方案包含备货、配送、质量保证措施、应急措施的得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分。在此基础上，</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每缺少一项内容或每有一项内容存在缺陷的扣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分扣完为止。</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2.根据投标人制定的售后服务方案进行综合评审，方案包含服务人员配置、响应时间、响应方式、</w:t>
            </w:r>
            <w:r>
              <w:rPr>
                <w:rFonts w:hint="eastAsia" w:ascii="宋体" w:hAnsi="宋体" w:eastAsia="宋体" w:cs="宋体"/>
                <w:color w:val="auto"/>
                <w:sz w:val="24"/>
                <w:szCs w:val="24"/>
                <w:highlight w:val="none"/>
                <w:lang w:val="en-US" w:eastAsia="zh-CN"/>
              </w:rPr>
              <w:t>售后服务期</w:t>
            </w:r>
            <w:r>
              <w:rPr>
                <w:rFonts w:hint="eastAsia" w:ascii="宋体" w:hAnsi="宋体" w:eastAsia="宋体" w:cs="宋体"/>
                <w:color w:val="auto"/>
                <w:sz w:val="24"/>
                <w:szCs w:val="24"/>
                <w:highlight w:val="none"/>
              </w:rPr>
              <w:t>内的维护措施的得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分。在此基础上，每缺少一项内容或每有一项内容存在缺陷的扣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分扣完为止。</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说明：内容存在缺陷是指内容与项目无关或与项目不匹配或项目名称、涉及的规范、技术服务标准要求与本项目不一致等情形</w:t>
            </w:r>
            <w:r>
              <w:rPr>
                <w:rFonts w:hint="eastAsia" w:ascii="宋体" w:hAnsi="宋体" w:eastAsia="宋体" w:cs="宋体"/>
                <w:color w:val="auto"/>
                <w:sz w:val="24"/>
                <w:szCs w:val="24"/>
                <w:highlight w:val="none"/>
                <w:lang w:eastAsia="zh-CN"/>
              </w:rPr>
              <w:t>。</w:t>
            </w:r>
          </w:p>
        </w:tc>
        <w:tc>
          <w:tcPr>
            <w:tcW w:w="1002" w:type="dxa"/>
            <w:tcBorders>
              <w:top w:val="single" w:color="000000" w:sz="4" w:space="0"/>
              <w:bottom w:val="single" w:color="000000" w:sz="4" w:space="0"/>
              <w:right w:val="single" w:color="000000" w:sz="4" w:space="0"/>
            </w:tcBorders>
            <w:noWrap w:val="0"/>
            <w:vAlign w:val="center"/>
          </w:tcPr>
          <w:p>
            <w:pPr>
              <w:autoSpaceDN w:val="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228" w:hRule="atLeast"/>
          <w:jc w:val="center"/>
        </w:trPr>
        <w:tc>
          <w:tcPr>
            <w:tcW w:w="8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07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p>
        </w:tc>
        <w:tc>
          <w:tcPr>
            <w:tcW w:w="81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523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投标人应提供样品一套</w:t>
            </w:r>
            <w:r>
              <w:rPr>
                <w:rFonts w:hint="eastAsia" w:ascii="宋体" w:hAnsi="宋体" w:eastAsia="宋体" w:cs="宋体"/>
                <w:color w:val="auto"/>
                <w:kern w:val="2"/>
                <w:sz w:val="24"/>
                <w:szCs w:val="24"/>
                <w:highlight w:val="none"/>
              </w:rPr>
              <w:t>实物样品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包括①</w:t>
            </w:r>
            <w:r>
              <w:rPr>
                <w:rFonts w:hint="eastAsia" w:ascii="宋体" w:hAnsi="宋体" w:eastAsia="宋体" w:cs="宋体"/>
                <w:color w:val="auto"/>
                <w:sz w:val="24"/>
                <w:szCs w:val="24"/>
                <w:highlight w:val="none"/>
              </w:rPr>
              <w:t>迷彩帽1顶、长袖迷彩军训服1套（</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含上衣1件、</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下装1条）、</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迷彩T恤1件、</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编织外腰带1条、</w:t>
            </w: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迷彩胶鞋1双、</w:t>
            </w: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sz w:val="24"/>
                <w:szCs w:val="24"/>
                <w:highlight w:val="none"/>
              </w:rPr>
              <w:t>皮内腰带1条、</w:t>
            </w: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rPr>
              <w:t>肩章1副。</w:t>
            </w:r>
          </w:p>
          <w:p>
            <w:pPr>
              <w:adjustRightInd w:val="0"/>
              <w:snapToGrid w:val="0"/>
              <w:spacing w:line="400" w:lineRule="exact"/>
              <w:ind w:firstLine="240" w:firstLineChars="1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以上实物样品如每一个样品未提供或每有一个样品存在手感粗糙或走线不均匀、色泽不均匀、</w:t>
            </w:r>
            <w:r>
              <w:rPr>
                <w:rFonts w:hint="eastAsia" w:ascii="宋体" w:hAnsi="宋体" w:eastAsia="宋体" w:cs="宋体"/>
                <w:color w:val="auto"/>
                <w:kern w:val="2"/>
                <w:sz w:val="24"/>
                <w:szCs w:val="24"/>
                <w:highlight w:val="none"/>
              </w:rPr>
              <w:t>厚薄</w:t>
            </w:r>
            <w:r>
              <w:rPr>
                <w:rFonts w:hint="eastAsia" w:ascii="宋体" w:hAnsi="宋体" w:eastAsia="宋体" w:cs="宋体"/>
                <w:color w:val="auto"/>
                <w:kern w:val="2"/>
                <w:sz w:val="24"/>
                <w:szCs w:val="24"/>
                <w:highlight w:val="none"/>
                <w:lang w:val="en-US" w:eastAsia="zh-CN"/>
              </w:rPr>
              <w:t>不</w:t>
            </w:r>
            <w:r>
              <w:rPr>
                <w:rFonts w:hint="eastAsia" w:ascii="宋体" w:hAnsi="宋体" w:eastAsia="宋体" w:cs="宋体"/>
                <w:color w:val="auto"/>
                <w:kern w:val="2"/>
                <w:sz w:val="24"/>
                <w:szCs w:val="24"/>
                <w:highlight w:val="none"/>
              </w:rPr>
              <w:t>均匀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有明显异味、有材料或工艺上的瑕疵，扣2分，</w:t>
            </w:r>
            <w:r>
              <w:rPr>
                <w:rFonts w:hint="eastAsia" w:ascii="宋体" w:hAnsi="宋体" w:eastAsia="宋体" w:cs="宋体"/>
                <w:color w:val="auto"/>
                <w:kern w:val="2"/>
                <w:sz w:val="24"/>
                <w:szCs w:val="24"/>
                <w:highlight w:val="none"/>
              </w:rPr>
              <w:t>扣完为止</w:t>
            </w:r>
            <w:r>
              <w:rPr>
                <w:rFonts w:hint="eastAsia" w:ascii="宋体" w:hAnsi="宋体" w:eastAsia="宋体" w:cs="宋体"/>
                <w:color w:val="auto"/>
                <w:kern w:val="2"/>
                <w:sz w:val="24"/>
                <w:szCs w:val="24"/>
                <w:highlight w:val="none"/>
                <w:lang w:eastAsia="zh-CN"/>
              </w:rPr>
              <w:t>。</w:t>
            </w:r>
          </w:p>
          <w:p>
            <w:pPr>
              <w:adjustRightInd w:val="0"/>
              <w:snapToGrid w:val="0"/>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注：</w:t>
            </w:r>
            <w:r>
              <w:rPr>
                <w:rFonts w:hint="eastAsia" w:ascii="宋体" w:hAnsi="宋体" w:eastAsia="宋体" w:cs="宋体"/>
                <w:color w:val="auto"/>
                <w:sz w:val="24"/>
                <w:szCs w:val="24"/>
                <w:highlight w:val="none"/>
              </w:rPr>
              <w:t>1.投标人应在递交投标文件同时提交样品（军训服套装一套)。样品须在</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截止时间前送达，在</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截止时间后提交的样品，均将拒绝接收。</w:t>
            </w:r>
          </w:p>
          <w:p>
            <w:pPr>
              <w:adjustRightInd w:val="0"/>
              <w:snapToGrid w:val="0"/>
              <w:spacing w:line="40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2.样品均为盲样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不封装</w:t>
            </w:r>
            <w:r>
              <w:rPr>
                <w:rFonts w:hint="eastAsia" w:ascii="宋体" w:hAnsi="宋体" w:eastAsia="宋体" w:cs="宋体"/>
                <w:color w:val="auto"/>
                <w:sz w:val="24"/>
                <w:szCs w:val="24"/>
                <w:highlight w:val="none"/>
              </w:rPr>
              <w:t>（不得具有标注投标人名称、</w:t>
            </w:r>
            <w:r>
              <w:rPr>
                <w:rFonts w:hint="eastAsia" w:ascii="宋体" w:hAnsi="宋体" w:eastAsia="宋体" w:cs="宋体"/>
                <w:color w:val="auto"/>
                <w:sz w:val="24"/>
                <w:szCs w:val="24"/>
                <w:highlight w:val="none"/>
                <w:lang w:val="en-US" w:eastAsia="zh-CN"/>
              </w:rPr>
              <w:t>产品品牌、生产厂家等的信息的</w:t>
            </w:r>
            <w:r>
              <w:rPr>
                <w:rFonts w:hint="eastAsia" w:ascii="宋体" w:hAnsi="宋体" w:eastAsia="宋体" w:cs="宋体"/>
                <w:color w:val="auto"/>
                <w:sz w:val="24"/>
                <w:szCs w:val="24"/>
                <w:highlight w:val="none"/>
              </w:rPr>
              <w:t>商标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背标、洗标</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如有任意样品上有投标人或产品品牌或生产厂家信息，样品全部不得分。</w:t>
            </w:r>
          </w:p>
          <w:p>
            <w:pPr>
              <w:adjustRightInd w:val="0"/>
              <w:snapToGrid w:val="0"/>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样品的设计、生产、运输费、保管费等一切费用由投标人自行承担。 </w:t>
            </w:r>
          </w:p>
          <w:p>
            <w:pPr>
              <w:adjustRightInd w:val="0"/>
              <w:snapToGrid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.中标投标人样品封样留存，作为交货验收的依据。其他未中标投标人的样品在收到中标结果通知书后7个工作日内领回，逾期的将视为投标人放弃领回。代理机构有权对进行集中处置且不承担任何责任。</w:t>
            </w:r>
          </w:p>
        </w:tc>
        <w:tc>
          <w:tcPr>
            <w:tcW w:w="1002" w:type="dxa"/>
            <w:tcBorders>
              <w:top w:val="single" w:color="000000" w:sz="4" w:space="0"/>
              <w:bottom w:val="single" w:color="000000" w:sz="4" w:space="0"/>
              <w:right w:val="single" w:color="000000" w:sz="4" w:space="0"/>
            </w:tcBorders>
            <w:noWrap w:val="0"/>
            <w:vAlign w:val="center"/>
          </w:tcPr>
          <w:p>
            <w:pPr>
              <w:autoSpaceDN w:val="0"/>
              <w:rPr>
                <w:rFonts w:hint="eastAsia" w:ascii="宋体" w:hAnsi="宋体" w:eastAsia="宋体" w:cs="宋体"/>
                <w:color w:val="auto"/>
                <w:sz w:val="24"/>
                <w:szCs w:val="24"/>
                <w:highlight w:val="none"/>
              </w:rPr>
            </w:pPr>
          </w:p>
        </w:tc>
      </w:tr>
    </w:tbl>
    <w:p>
      <w:pPr>
        <w:spacing w:line="240" w:lineRule="auto"/>
        <w:ind w:firstLine="0" w:firstLineChars="0"/>
        <w:jc w:val="both"/>
        <w:rPr>
          <w:rFonts w:ascii="宋体" w:hAnsi="宋体" w:eastAsia="宋体" w:cs="宋体"/>
          <w:b/>
          <w:bCs/>
          <w:color w:val="auto"/>
          <w:spacing w:val="6"/>
          <w:sz w:val="28"/>
          <w:szCs w:val="28"/>
          <w:highlight w:val="none"/>
        </w:rPr>
      </w:pPr>
    </w:p>
    <w:bookmarkEnd w:id="185"/>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评分分值四舍五入，保留小数点后 2 位。</w:t>
      </w:r>
    </w:p>
    <w:p>
      <w:pPr>
        <w:spacing w:line="240" w:lineRule="auto"/>
        <w:ind w:firstLine="482" w:firstLineChars="200"/>
        <w:outlineLvl w:val="1"/>
        <w:rPr>
          <w:rFonts w:ascii="宋体" w:hAnsi="宋体" w:eastAsia="宋体" w:cs="宋体"/>
          <w:b/>
          <w:bCs/>
          <w:color w:val="auto"/>
          <w:sz w:val="24"/>
          <w:szCs w:val="24"/>
          <w:highlight w:val="none"/>
        </w:rPr>
      </w:pPr>
      <w:bookmarkStart w:id="186" w:name="_Toc32706"/>
      <w:bookmarkStart w:id="187" w:name="_Toc21587"/>
      <w:bookmarkStart w:id="188" w:name="_Toc20800"/>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废 标</w:t>
      </w:r>
      <w:bookmarkEnd w:id="186"/>
      <w:bookmarkEnd w:id="187"/>
      <w:bookmarkEnd w:id="188"/>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本次采购活动中，出现下列情形之一的，予以废标：</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 符合专业条件的投标人或者对招标文件作实质响应的投标人不足三家的；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出现影响采购公正的违法、违规行为的；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4.1.3 投标人的报价均超过了采购预算，招标人不能支付的；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4.1.4 因重大变故，采购任务取消的。</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废标后，招标代理机构应在中国招标投标公共服务平台（http://www.cebpubservice.com/）上公告，并公告废标的情形。投标人需要知晓导致废标情形的具体原因和理由的，可以通过书面形式询问招标采购单位。</w:t>
      </w:r>
    </w:p>
    <w:p>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4.2 对于评标过程中废标的采购项目，评标委员会应当对招标文件是否存在倾向性和歧视性、是否存在不合理条款进行论证，并出具书面论证意见。</w:t>
      </w:r>
    </w:p>
    <w:p>
      <w:pPr>
        <w:spacing w:line="240" w:lineRule="auto"/>
        <w:ind w:firstLine="482" w:firstLineChars="200"/>
        <w:outlineLvl w:val="1"/>
        <w:rPr>
          <w:rFonts w:ascii="宋体" w:hAnsi="宋体" w:eastAsia="宋体" w:cs="宋体"/>
          <w:b/>
          <w:bCs/>
          <w:color w:val="auto"/>
          <w:sz w:val="24"/>
          <w:szCs w:val="24"/>
          <w:highlight w:val="none"/>
        </w:rPr>
      </w:pPr>
      <w:bookmarkStart w:id="189" w:name="_Toc32237"/>
      <w:bookmarkStart w:id="190" w:name="_Toc31158"/>
      <w:bookmarkStart w:id="191" w:name="_Toc2086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定标</w:t>
      </w:r>
      <w:bookmarkEnd w:id="189"/>
      <w:bookmarkEnd w:id="190"/>
      <w:bookmarkEnd w:id="191"/>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定标原则：</w:t>
      </w:r>
    </w:p>
    <w:p>
      <w:pPr>
        <w:spacing w:line="240" w:lineRule="auto"/>
        <w:ind w:left="479" w:leftChars="228" w:firstLine="0" w:firstLineChars="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方式一：招标人将按评标委员会推荐的中标候选人名单，按顺序确定中标人。方式二：招标人授权评标委员会直接确定中标人。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定标原则：本项目采用</w:t>
      </w:r>
      <w:r>
        <w:rPr>
          <w:rFonts w:hint="eastAsia" w:ascii="宋体" w:hAnsi="宋体" w:eastAsia="宋体" w:cs="宋体"/>
          <w:b/>
          <w:bCs/>
          <w:color w:val="auto"/>
          <w:spacing w:val="6"/>
          <w:sz w:val="24"/>
          <w:szCs w:val="24"/>
          <w:highlight w:val="none"/>
          <w:u w:val="single"/>
        </w:rPr>
        <w:t>方式一</w:t>
      </w:r>
      <w:r>
        <w:rPr>
          <w:rFonts w:hint="eastAsia" w:ascii="宋体" w:hAnsi="宋体" w:eastAsia="宋体" w:cs="宋体"/>
          <w:color w:val="auto"/>
          <w:spacing w:val="6"/>
          <w:sz w:val="24"/>
          <w:szCs w:val="24"/>
          <w:highlight w:val="none"/>
        </w:rPr>
        <w:t>确定中标人。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定标程序</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5.2.1 评标委员会将评标情况写出书面报告，推荐三名中标候选人。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5.2.2 招标代理机构在评标结束后2个工作日内将评标报告送招标人。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5.2.3 招标人在收到评标报告后5个工作日内按照评标报告中推荐的中标候选人顺序确定中标人。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注意，招标人按照推荐的中标候选人顺序确定中标人，不能认为招标人只能确定第一中标候选人为中标人，招标人有正当理由的，可以确定后一顺序中标候选人为中标人，</w:t>
      </w:r>
      <w:r>
        <w:rPr>
          <w:rFonts w:hint="eastAsia" w:ascii="宋体" w:hAnsi="宋体" w:eastAsia="宋体" w:cs="宋体"/>
          <w:b/>
          <w:bCs/>
          <w:color w:val="auto"/>
          <w:sz w:val="24"/>
          <w:szCs w:val="24"/>
          <w:highlight w:val="none"/>
          <w:lang w:eastAsia="zh-CN"/>
        </w:rPr>
        <w:t>依此类推</w:t>
      </w:r>
      <w:r>
        <w:rPr>
          <w:rFonts w:hint="eastAsia" w:ascii="宋体" w:hAnsi="宋体" w:eastAsia="宋体" w:cs="宋体"/>
          <w:b/>
          <w:bCs/>
          <w:color w:val="auto"/>
          <w:sz w:val="24"/>
          <w:szCs w:val="24"/>
          <w:highlight w:val="none"/>
        </w:rPr>
        <w:t>。</w:t>
      </w:r>
    </w:p>
    <w:p>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招标人在收到评审报告之日起5个工作日内未按评标报告推荐的中标候选人顺序确定中标人，又不能说明合法理由的，视同按评审报告推荐的顺序确定排名第一的中标候选人为中标人。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5.2.4 招标代理机构自中标人确定之日起2个工作日内，在中国招标投标公共服务平台（http://www.cebpubservice.com/）上公告中标结果。</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5.2.5 招标采购单位不退回投标人投标文件和其他投标资料。</w:t>
      </w:r>
    </w:p>
    <w:p>
      <w:pPr>
        <w:spacing w:line="240" w:lineRule="auto"/>
        <w:ind w:firstLine="482" w:firstLineChars="200"/>
        <w:outlineLvl w:val="1"/>
        <w:rPr>
          <w:rFonts w:ascii="宋体" w:hAnsi="宋体" w:eastAsia="宋体" w:cs="宋体"/>
          <w:b/>
          <w:bCs/>
          <w:color w:val="auto"/>
          <w:sz w:val="24"/>
          <w:szCs w:val="24"/>
          <w:highlight w:val="none"/>
        </w:rPr>
      </w:pPr>
      <w:bookmarkStart w:id="192" w:name="_Toc31384"/>
      <w:bookmarkStart w:id="193" w:name="_Toc29395"/>
      <w:bookmarkStart w:id="194" w:name="_Toc30005"/>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评标专家在采购活动中承担以下义务：</w:t>
      </w:r>
      <w:bookmarkEnd w:id="192"/>
      <w:bookmarkEnd w:id="193"/>
      <w:bookmarkEnd w:id="194"/>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6.1 遵守评审工作纪律；</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6.2 按照客观、公正、审慎的原则，根据采购文件规定的评审程序、评审方法和评审标准进行独立评审；</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6.3 不得泄露评审文件、评审情况和在评审过程中获悉的商业秘密；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6.4 及时向监督部门报告评审过程中采购组织单位向评审专家做倾向性、误导性的解释或者说明，供应商行贿、提供虚假材料或者串通、受到的非法干预情况等违法违规行为；</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6.5 发现采购文件内容违反国家有关强制性规定或者存在歧义、重大缺陷导致评审工作无法进行时，停止评审并向采购组织单位书面说明情况；</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6.6 配合答复处理供应商的询问、质疑和投诉等事项；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6.7 法律、法规和规章规定的其他义务。</w:t>
      </w:r>
    </w:p>
    <w:p>
      <w:pPr>
        <w:spacing w:line="240" w:lineRule="auto"/>
        <w:ind w:firstLine="482" w:firstLineChars="200"/>
        <w:outlineLvl w:val="1"/>
        <w:rPr>
          <w:rFonts w:ascii="宋体" w:hAnsi="宋体" w:eastAsia="宋体" w:cs="宋体"/>
          <w:b/>
          <w:bCs/>
          <w:color w:val="auto"/>
          <w:sz w:val="24"/>
          <w:szCs w:val="24"/>
          <w:highlight w:val="none"/>
        </w:rPr>
      </w:pPr>
      <w:bookmarkStart w:id="195" w:name="_Toc2497"/>
      <w:bookmarkStart w:id="196" w:name="_Toc5511"/>
      <w:bookmarkStart w:id="197" w:name="_Toc13558"/>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评标专家在采购活动中应当遵守以下工作纪律：</w:t>
      </w:r>
      <w:bookmarkEnd w:id="195"/>
      <w:bookmarkEnd w:id="196"/>
      <w:bookmarkEnd w:id="197"/>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7.1 遵行《中华人民共和国政府采购法》第十二条和《中华人民共和国政府采购法实施条例》第九条及财政部关于回避的规定。</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7.2 评标前，应当将通讯工具或者相关电子设备交由招标采购单位统一保管。</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7.3 评标过程中，不得与外界联系，因发生不可预见情况，确实需要与外界联系的，应当在监督人员监督之下办理。</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7.4 评标过程中，不得干预或者影响正常评标工作，不得发表倾向性、引导性意见，不得修改或细化招标文件确定的评标程序、评标方法、评标因素和评标标准，不得接受供应商主动提出的澄清和解释，不得征询招标人代表的意见，不得协商评分，不得违反规定的评标格式评分和撰写评标意见，不得拒绝对自己的 评标意见签字确认。</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7.5 在评标过程中和评标结束后，不得记录、复制或带走任何评标资料，除因规定的义务外，不得向外界透露评标内容。</w:t>
      </w:r>
    </w:p>
    <w:p>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7.6 服从评标现场招标采购单位的现场秩序管理，接受评标现场监督人员的合法监督。</w:t>
      </w:r>
    </w:p>
    <w:p>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7.7 遵守有关廉洁自律规定，不得私下接触供应商，不得收受供应商及有关业务单位和个人的财物或好处，不得接受采购组织单位的请托。</w:t>
      </w:r>
    </w:p>
    <w:p>
      <w:pPr>
        <w:pStyle w:val="15"/>
        <w:spacing w:line="240" w:lineRule="auto"/>
        <w:rPr>
          <w:rFonts w:ascii="宋体" w:hAnsi="宋体" w:eastAsia="宋体" w:cs="宋体"/>
          <w:color w:val="auto"/>
          <w:spacing w:val="6"/>
          <w:sz w:val="23"/>
          <w:szCs w:val="23"/>
          <w:highlight w:val="none"/>
        </w:rPr>
      </w:pPr>
    </w:p>
    <w:p>
      <w:pPr>
        <w:pStyle w:val="15"/>
        <w:spacing w:line="240" w:lineRule="auto"/>
        <w:rPr>
          <w:rFonts w:ascii="宋体" w:hAnsi="宋体" w:eastAsia="宋体" w:cs="宋体"/>
          <w:color w:val="auto"/>
          <w:spacing w:val="6"/>
          <w:sz w:val="23"/>
          <w:szCs w:val="23"/>
          <w:highlight w:val="none"/>
        </w:rPr>
      </w:pPr>
    </w:p>
    <w:p>
      <w:pPr>
        <w:pStyle w:val="15"/>
        <w:spacing w:line="240" w:lineRule="auto"/>
        <w:rPr>
          <w:rFonts w:ascii="宋体" w:hAnsi="宋体" w:eastAsia="宋体" w:cs="宋体"/>
          <w:color w:val="auto"/>
          <w:spacing w:val="6"/>
          <w:sz w:val="23"/>
          <w:szCs w:val="23"/>
          <w:highlight w:val="none"/>
        </w:rPr>
      </w:pPr>
    </w:p>
    <w:p>
      <w:pPr>
        <w:pStyle w:val="15"/>
        <w:spacing w:line="240" w:lineRule="auto"/>
        <w:rPr>
          <w:rFonts w:ascii="宋体" w:hAnsi="宋体" w:eastAsia="宋体" w:cs="宋体"/>
          <w:color w:val="auto"/>
          <w:spacing w:val="6"/>
          <w:sz w:val="23"/>
          <w:szCs w:val="23"/>
          <w:highlight w:val="none"/>
        </w:rPr>
      </w:pPr>
    </w:p>
    <w:p>
      <w:pPr>
        <w:pStyle w:val="15"/>
        <w:spacing w:line="240" w:lineRule="auto"/>
        <w:rPr>
          <w:rFonts w:ascii="宋体" w:hAnsi="宋体" w:eastAsia="宋体" w:cs="宋体"/>
          <w:color w:val="auto"/>
          <w:spacing w:val="6"/>
          <w:sz w:val="23"/>
          <w:szCs w:val="23"/>
          <w:highlight w:val="none"/>
        </w:rPr>
      </w:pPr>
    </w:p>
    <w:p>
      <w:pPr>
        <w:spacing w:line="240" w:lineRule="auto"/>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br w:type="page"/>
      </w:r>
    </w:p>
    <w:p>
      <w:pPr>
        <w:spacing w:line="240" w:lineRule="auto"/>
        <w:rPr>
          <w:color w:val="auto"/>
          <w:highlight w:val="none"/>
        </w:rPr>
        <w:sectPr>
          <w:headerReference r:id="rId43" w:type="default"/>
          <w:footerReference r:id="rId44" w:type="default"/>
          <w:pgSz w:w="11905" w:h="16838"/>
          <w:pgMar w:top="1417" w:right="1417" w:bottom="1417" w:left="1417" w:header="0" w:footer="1134" w:gutter="0"/>
          <w:cols w:space="0" w:num="1"/>
        </w:sectPr>
      </w:pPr>
    </w:p>
    <w:p>
      <w:pPr>
        <w:spacing w:line="240" w:lineRule="auto"/>
        <w:rPr>
          <w:color w:val="auto"/>
          <w:highlight w:val="none"/>
        </w:rPr>
      </w:pPr>
    </w:p>
    <w:p>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98" w:name="_Toc28315"/>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第八章  合同主要条款</w:t>
      </w:r>
      <w:bookmarkEnd w:id="198"/>
    </w:p>
    <w:p>
      <w:pPr>
        <w:spacing w:line="240" w:lineRule="auto"/>
        <w:rPr>
          <w:color w:val="auto"/>
          <w:highlight w:val="none"/>
        </w:rPr>
      </w:pPr>
    </w:p>
    <w:p>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成都市技师学院（成都工贸职业技术学院）2024级学生军训服采购项目</w:t>
      </w:r>
    </w:p>
    <w:p>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8"/>
          <w:szCs w:val="28"/>
          <w:highlight w:val="none"/>
          <w:u w:val="none"/>
        </w:rPr>
        <w:t>合同文本主要条款</w:t>
      </w:r>
    </w:p>
    <w:p>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2"/>
          <w:szCs w:val="22"/>
          <w:highlight w:val="none"/>
          <w:lang w:val="en-US" w:eastAsia="zh-CN"/>
        </w:rPr>
      </w:pPr>
    </w:p>
    <w:p>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招标人、投标人</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w:t>
      </w:r>
    </w:p>
    <w:p>
      <w:pPr>
        <w:pStyle w:val="37"/>
        <w:pageBreakBefore w:val="0"/>
        <w:widowControl w:val="0"/>
        <w:tabs>
          <w:tab w:val="left" w:pos="0"/>
        </w:tabs>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p>
    <w:p>
      <w:pPr>
        <w:pStyle w:val="44"/>
        <w:adjustRightInd w:val="0"/>
        <w:snapToGrid w:val="0"/>
        <w:spacing w:line="320" w:lineRule="exact"/>
        <w:ind w:firstLine="480" w:firstLineChars="200"/>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合同编号：</w:t>
      </w:r>
    </w:p>
    <w:p>
      <w:pPr>
        <w:pStyle w:val="44"/>
        <w:adjustRightInd w:val="0"/>
        <w:snapToGrid w:val="0"/>
        <w:spacing w:line="320" w:lineRule="exact"/>
        <w:ind w:firstLine="480" w:firstLineChars="200"/>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签订地点：成都市郫都区红光街道港通北三路1899号</w:t>
      </w:r>
    </w:p>
    <w:p>
      <w:pPr>
        <w:pStyle w:val="44"/>
        <w:adjustRightInd w:val="0"/>
        <w:snapToGrid w:val="0"/>
        <w:spacing w:line="320" w:lineRule="exact"/>
        <w:ind w:firstLine="480" w:firstLineChars="200"/>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签订时间：</w:t>
      </w:r>
    </w:p>
    <w:p>
      <w:pPr>
        <w:pStyle w:val="44"/>
        <w:adjustRightInd w:val="0"/>
        <w:snapToGrid w:val="0"/>
        <w:spacing w:line="320" w:lineRule="exact"/>
        <w:ind w:firstLine="480" w:firstLineChars="200"/>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甲方(</w:t>
      </w:r>
      <w:r>
        <w:rPr>
          <w:rFonts w:hint="eastAsia" w:ascii="宋体" w:hAnsi="宋体" w:eastAsia="宋体" w:cs="宋体"/>
          <w:snapToGrid/>
          <w:color w:val="auto"/>
          <w:sz w:val="24"/>
          <w:szCs w:val="24"/>
          <w:highlight w:val="none"/>
          <w:lang w:eastAsia="zh-CN"/>
        </w:rPr>
        <w:t>招标人</w:t>
      </w:r>
      <w:r>
        <w:rPr>
          <w:rFonts w:hint="eastAsia" w:ascii="宋体" w:hAnsi="宋体" w:eastAsia="宋体" w:cs="宋体"/>
          <w:snapToGrid/>
          <w:color w:val="auto"/>
          <w:sz w:val="24"/>
          <w:szCs w:val="24"/>
          <w:highlight w:val="none"/>
        </w:rPr>
        <w:t>)：成都市技师学院（成都工贸职业技术学院）</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根据《中华人民共和国民法典》及成都市技师学院（成都工贸职业技术学院）</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rPr>
        <w:t>学生军训服采购项目（项目编号：）的《招标文件》、乙方的《投标文件》及《中标通知书》，甲、乙双方同意签订本合同。就甲方委托乙方承担成都市技师学院（成都工贸职业技术学院）</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rPr>
        <w:t>学生军训服采购项目事宜如下：</w:t>
      </w:r>
    </w:p>
    <w:p>
      <w:pPr>
        <w:pStyle w:val="44"/>
        <w:adjustRightInd w:val="0"/>
        <w:snapToGrid w:val="0"/>
        <w:spacing w:line="320" w:lineRule="exact"/>
        <w:ind w:firstLine="480" w:firstLineChars="200"/>
        <w:rPr>
          <w:rFonts w:hint="eastAsia" w:ascii="宋体" w:hAnsi="宋体" w:eastAsia="宋体" w:cs="宋体"/>
          <w:snapToGrid/>
          <w:color w:val="auto"/>
          <w:sz w:val="24"/>
          <w:szCs w:val="24"/>
          <w:highlight w:val="none"/>
        </w:rPr>
      </w:pPr>
    </w:p>
    <w:p>
      <w:pPr>
        <w:tabs>
          <w:tab w:val="left" w:pos="0"/>
        </w:tabs>
        <w:adjustRightInd w:val="0"/>
        <w:snapToGrid w:val="0"/>
        <w:spacing w:line="3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本次采购一名供应为成都市技师学院（成都工贸职业技术学院）</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rPr>
        <w:t>新生提供军训服装。涉及军训校区为</w:t>
      </w:r>
      <w:r>
        <w:rPr>
          <w:rFonts w:hint="eastAsia" w:ascii="宋体" w:hAnsi="宋体" w:eastAsia="宋体" w:cs="宋体"/>
          <w:color w:val="auto"/>
          <w:sz w:val="24"/>
          <w:szCs w:val="24"/>
          <w:highlight w:val="none"/>
          <w:lang w:eastAsia="zh-CN"/>
        </w:rPr>
        <w:t>郫都校区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郫都</w:t>
      </w:r>
      <w:r>
        <w:rPr>
          <w:rFonts w:hint="eastAsia" w:ascii="宋体" w:hAnsi="宋体" w:eastAsia="宋体" w:cs="宋体"/>
          <w:color w:val="auto"/>
          <w:sz w:val="24"/>
          <w:szCs w:val="24"/>
          <w:highlight w:val="none"/>
        </w:rPr>
        <w:t>西校区、新都校区、成华校区。甲方计划招生约为：</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人，其中中职1</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人，高职:</w:t>
      </w:r>
      <w:r>
        <w:rPr>
          <w:rFonts w:hint="eastAsia" w:ascii="宋体" w:hAnsi="宋体" w:eastAsia="宋体" w:cs="宋体"/>
          <w:color w:val="auto"/>
          <w:sz w:val="24"/>
          <w:szCs w:val="24"/>
          <w:highlight w:val="none"/>
          <w:lang w:val="en-US" w:eastAsia="zh-CN"/>
        </w:rPr>
        <w:t>3800</w:t>
      </w:r>
      <w:r>
        <w:rPr>
          <w:rFonts w:hint="eastAsia" w:ascii="宋体" w:hAnsi="宋体" w:eastAsia="宋体" w:cs="宋体"/>
          <w:color w:val="auto"/>
          <w:sz w:val="24"/>
          <w:szCs w:val="24"/>
          <w:highlight w:val="none"/>
        </w:rPr>
        <w:t>人（最终以实际招生为准）。</w:t>
      </w:r>
    </w:p>
    <w:p>
      <w:pPr>
        <w:pStyle w:val="2"/>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二、合同标的</w:t>
      </w:r>
    </w:p>
    <w:p>
      <w:pPr>
        <w:tabs>
          <w:tab w:val="left" w:pos="0"/>
        </w:tabs>
        <w:adjustRightInd w:val="0"/>
        <w:snapToGrid w:val="0"/>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1.合同标的明细</w:t>
      </w:r>
    </w:p>
    <w:tbl>
      <w:tblPr>
        <w:tblStyle w:val="18"/>
        <w:tblW w:w="90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6"/>
        <w:gridCol w:w="2498"/>
        <w:gridCol w:w="1247"/>
        <w:gridCol w:w="920"/>
        <w:gridCol w:w="1926"/>
        <w:gridCol w:w="12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成交单价（元）</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24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outlineLvl w:val="1"/>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249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926"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rPr>
                <w:rFonts w:hint="eastAsia" w:ascii="宋体" w:hAnsi="宋体" w:eastAsia="宋体" w:cs="宋体"/>
                <w:color w:val="auto"/>
                <w:sz w:val="24"/>
                <w:szCs w:val="24"/>
                <w:highlight w:val="none"/>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jc w:val="left"/>
              <w:outlineLvl w:val="1"/>
              <w:rPr>
                <w:rFonts w:hint="eastAsia" w:ascii="宋体" w:hAnsi="宋体" w:eastAsia="宋体" w:cs="宋体"/>
                <w:color w:val="auto"/>
                <w:sz w:val="24"/>
                <w:szCs w:val="24"/>
                <w:highlight w:val="none"/>
              </w:rPr>
            </w:pPr>
          </w:p>
        </w:tc>
      </w:tr>
    </w:tbl>
    <w:p>
      <w:pPr>
        <w:tabs>
          <w:tab w:val="left" w:pos="0"/>
        </w:tabs>
        <w:adjustRightInd w:val="0"/>
        <w:snapToGrid w:val="0"/>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2.合同标的技术参数明细</w:t>
      </w:r>
    </w:p>
    <w:p>
      <w:pPr>
        <w:pStyle w:val="2"/>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XXXXXX</w:t>
      </w:r>
    </w:p>
    <w:p>
      <w:pPr>
        <w:tabs>
          <w:tab w:val="left" w:pos="0"/>
        </w:tabs>
        <w:adjustRightInd w:val="0"/>
        <w:snapToGrid w:val="0"/>
        <w:spacing w:line="3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三、履约时间和方式</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1.履约期：合同签订之日起至202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2.乙方收到甲方书面送货通知之日起，根据甲方当批次次所需要的货物品类以及数量，</w:t>
      </w:r>
      <w:r>
        <w:rPr>
          <w:rFonts w:hint="eastAsia" w:ascii="宋体" w:hAnsi="宋体" w:eastAsia="宋体" w:cs="宋体"/>
          <w:bCs/>
          <w:color w:val="auto"/>
          <w:sz w:val="24"/>
          <w:szCs w:val="24"/>
          <w:highlight w:val="none"/>
        </w:rPr>
        <w:t>2个工作日内，按照</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的订单配送。</w:t>
      </w:r>
      <w:r>
        <w:rPr>
          <w:rFonts w:hint="eastAsia" w:ascii="宋体" w:hAnsi="宋体" w:eastAsia="宋体" w:cs="宋体"/>
          <w:color w:val="auto"/>
          <w:sz w:val="24"/>
          <w:szCs w:val="24"/>
          <w:highlight w:val="none"/>
        </w:rPr>
        <w:t>。</w:t>
      </w:r>
    </w:p>
    <w:p>
      <w:pPr>
        <w:autoSpaceDE w:val="0"/>
        <w:autoSpaceDN w:val="0"/>
        <w:adjustRightIn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3.售后服务期为15日历天，售后服务期的起始日期为学生购买之日起开始计算。</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四、履约地点</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1.成都市郫都区红光街道港通北三路1899号</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2.成都市郫都区红光街道高店路1666号</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3.成都市成华区万年街道外东槐树店路32号</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4.成都市新都区西北村301号</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五、合同总价、付款安排、支付方式</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1.成交单价为固定包干价格，包括但不限于服装的供货、包装、运输、</w:t>
      </w:r>
      <w:r>
        <w:rPr>
          <w:rFonts w:hint="eastAsia" w:ascii="宋体" w:hAnsi="宋体" w:eastAsia="宋体" w:cs="宋体"/>
          <w:bCs/>
          <w:color w:val="auto"/>
          <w:sz w:val="24"/>
          <w:szCs w:val="24"/>
          <w:highlight w:val="none"/>
        </w:rPr>
        <w:t>售后服务（</w:t>
      </w:r>
      <w:r>
        <w:rPr>
          <w:rFonts w:hint="eastAsia" w:ascii="宋体" w:hAnsi="宋体" w:eastAsia="宋体" w:cs="宋体"/>
          <w:color w:val="auto"/>
          <w:sz w:val="24"/>
          <w:szCs w:val="24"/>
          <w:highlight w:val="none"/>
        </w:rPr>
        <w:t>修补、更换</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、人工、质检、税费等与完成服装交付的所有费用。</w:t>
      </w:r>
    </w:p>
    <w:p>
      <w:pPr>
        <w:pStyle w:val="2"/>
        <w:ind w:firstLine="63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2.学生在现场可选择微信、支付宝等非现金形式或现金形式支付</w:t>
      </w:r>
      <w:r>
        <w:rPr>
          <w:rFonts w:hint="eastAsia" w:ascii="宋体" w:hAnsi="宋体" w:eastAsia="宋体" w:cs="宋体"/>
          <w:color w:val="auto"/>
          <w:sz w:val="24"/>
          <w:szCs w:val="24"/>
          <w:highlight w:val="none"/>
          <w:lang w:eastAsia="zh-CN"/>
        </w:rPr>
        <w:t>。</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六、质量及供货渠道要求</w:t>
      </w:r>
    </w:p>
    <w:p>
      <w:pPr>
        <w:pStyle w:val="8"/>
        <w:spacing w:line="4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1.乙方应保证服装是全新、未使用过的原装合格正品。尺寸符合国家标准，穿着后无皮肤过敏等问题。</w:t>
      </w:r>
    </w:p>
    <w:p>
      <w:pPr>
        <w:pStyle w:val="2"/>
        <w:ind w:firstLine="6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装必须符合本项目招标文件规定的质量、规格的要求。如果乙方提供的服装的质量或规格与招标文件和乙方的投标文件不符，或证实服装是有缺陷的，包括潜在的缺陷等，乙方应在接到甲方通知后12小时内历天内完成换货，因换货产生的费用由乙方承担，如因不合格服装给甲方及学生造成损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还应承担赔偿责任。因服装质量问题产生的质监处罚、医疗缺陷和医疗纠纷</w:t>
      </w:r>
      <w:r>
        <w:rPr>
          <w:rFonts w:hint="eastAsia" w:ascii="宋体" w:hAnsi="宋体" w:eastAsia="宋体" w:cs="宋体"/>
          <w:color w:val="auto"/>
          <w:sz w:val="24"/>
          <w:szCs w:val="24"/>
          <w:highlight w:val="none"/>
          <w:lang w:val="en-US" w:eastAsia="zh-CN"/>
        </w:rPr>
        <w:t>等问题</w:t>
      </w:r>
      <w:r>
        <w:rPr>
          <w:rFonts w:hint="eastAsia" w:ascii="宋体" w:hAnsi="宋体" w:eastAsia="宋体" w:cs="宋体"/>
          <w:color w:val="auto"/>
          <w:sz w:val="24"/>
          <w:szCs w:val="24"/>
          <w:highlight w:val="none"/>
        </w:rPr>
        <w:t>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负全部经济和法律责任。</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七、包装（方式）、运输要求</w:t>
      </w:r>
    </w:p>
    <w:p>
      <w:pPr>
        <w:autoSpaceDE w:val="0"/>
        <w:autoSpaceDN w:val="0"/>
        <w:adjustRightIn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（1）乙方严格按照甲方送货要求按时、按质、按量配送服装，送达甲方指定地点后负责服装的发放。</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（2）甲方如有紧急配送需求时，乙方应积极配合供货，并按时、按质、按量配送服装。</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（3）甲方有调、换货需求时，乙方应积极配合调、换货，按时、按质、按量配送服装。</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（4）若服装有质量问题的，</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应无条件更换。</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（5）服装必须标明：产品型号、规格、原料成份和材质含量及等级。</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八、售后服务及要求</w:t>
      </w:r>
    </w:p>
    <w:p>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（1）.学生购买服装之日起15日内若出现服装破损、褪色或学生皮肤不适等情况，乙方在接到甲方通知后12小时内完成修补或替换。</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（2）当批次服装发放完毕后，乙方提供10%的备货，存放在甲方指定地点，便于甲方临时补发，备货服装费按实际发生量结合成交单价在军训结束后结算。</w:t>
      </w:r>
    </w:p>
    <w:p>
      <w:pPr>
        <w:autoSpaceDE w:val="0"/>
        <w:autoSpaceDN w:val="0"/>
        <w:adjustRightIn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（3）乙方为本项目配置的人员不少于15人。</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九、其他商务要求</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十、双方的权利和义务</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（一）甲方的权利和义务：</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有权对合同规定范围内乙方提供的物资、售后服务为进行监督和检查,拥有监管权。有权核对乙方提供的物资、售后服务质量。对甲方认为质量不合格的货物有权下达整改通知书,并要求乙方限期修理及更换。 </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2.负责检查监督乙方提供的物资、售后服务行为实施的执行情况。 </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3.国家法律、法规所规定由甲方承担的其它责任。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（二）乙方的权利和义务</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1.依照本合同提供符合合同要求且能够满足甲方使用需求和使用目的的货物。</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2.接受项目行业管理部门及政府有关部门的指导，接受甲方的监督。</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3.履行本合同的全部安全责任均由乙方承担，甲方对此不承担任何责任。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4.国家法律、法规所规定由乙方承担的其它责任。</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十一、履约保证金要求</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履约保证金为</w:t>
      </w:r>
      <w:r>
        <w:rPr>
          <w:rFonts w:hint="eastAsia" w:ascii="宋体" w:hAnsi="宋体" w:eastAsia="宋体" w:cs="宋体"/>
          <w:color w:val="auto"/>
          <w:sz w:val="24"/>
          <w:szCs w:val="24"/>
          <w:highlight w:val="none"/>
          <w:lang w:val="en-US" w:eastAsia="zh-CN"/>
        </w:rPr>
        <w:t>30000</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lang w:eastAsia="zh-CN"/>
        </w:rPr>
        <w:t>叁万</w:t>
      </w:r>
      <w:r>
        <w:rPr>
          <w:rFonts w:hint="eastAsia" w:ascii="宋体" w:hAnsi="宋体" w:eastAsia="宋体" w:cs="宋体"/>
          <w:color w:val="auto"/>
          <w:sz w:val="24"/>
          <w:szCs w:val="24"/>
          <w:highlight w:val="none"/>
        </w:rPr>
        <w:t>元整），乙方应在中标通知书发出之日起至合同签订前以银行转账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提交履约保证金。</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合同约定(含售后服务)完毕且货物以及售后服务全部验收合格后，无质量问题和违约责任的情况下。10个日历天内无息退还乙方应退部分履约保证金。因甲方原因逾期退还的，应当以未退还金额为基数，按合同订立时1年期贷款市场报价利率标准向乙方支付相应违约金，但违约金最高不得超过未退还金额的百分之二十。若因乙方不及时或未提供“收到退还履约保证金的收据”、“履约保证金退还申请”的，则甲方不承担逾期退还违约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3.履约保证金汇入的银行及账号：</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收款账号：成都市技师学院</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开户行：工行四川成都红光支行</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银行账号：4402054609100031151</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不予退还情形:一是乙方未按合同要求履行的，其履约保证金全部扣除。二是乙方缴纳了履约保证金，但因自身原因被取消成交资格或在成交公示期满之日起30个日历天(含法定节假日)内乙方不按招标文件确定的事项与甲方签订合同的，其履约保证金不予退还。三是法律法规或合同约定的其他情形。</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十二、验收、交付标准和方法</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1.验收的主体：甲方</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2.验收时间及程序：</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（1）货物验收：乙方将当批次服装送达指定地点的当天，甲方随机抽取10％进行验收。</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（2）售后服务验收：当批次服装售后服务期结束，自甲方收到售后服务验收申请之日起5个工作日内组织验收</w:t>
      </w:r>
      <w:r>
        <w:rPr>
          <w:rFonts w:hint="eastAsia" w:ascii="宋体" w:hAnsi="宋体" w:eastAsia="宋体" w:cs="宋体"/>
          <w:color w:val="auto"/>
          <w:sz w:val="24"/>
          <w:szCs w:val="24"/>
          <w:highlight w:val="none"/>
          <w:lang w:eastAsia="zh-CN"/>
        </w:rPr>
        <w:t>。</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3.验收方式：单位内部验收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4.验收的内容：</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（1）验收内容包括品牌、型号、数量、外观等每一项技术和商务要求（不含售后服务）的履约情况；</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（2）售后服务验收内容包括售后服务要求中每一项要求的履约情况。</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验收标准：按国家有关规定以及甲方招标文件的质量要求和技术指标、乙方的投标文件及承诺与本合同约定标准进行验收；其他未尽事宜应参照《财政部关于进一步加强政府采购需求和履约验收管理的指导意见》(财库〔2016〕205号)的要求进行验收。</w:t>
      </w:r>
    </w:p>
    <w:p>
      <w:pPr>
        <w:autoSpaceDE w:val="0"/>
        <w:autoSpaceDN w:val="0"/>
        <w:spacing w:line="400" w:lineRule="exact"/>
        <w:ind w:firstLine="55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6.交付标准和方法：乙方按合同约定提供服装和售后服务且该批次验收合格，视为乙方完成当批次服装的交付。</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十三、解决争议的方法</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1.因质量问题发生争议，由双方协商确定第三方机构进行质量鉴定。质量符合标准的，鉴定费由甲方承担；不符合质量标准的，鉴定费由乙方承担。 </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2.履约期间,若双方发生争议，双方应通过友好协商解决，经协商不能达成协议时，应提交甲方所在地的人民法院诉讼。在诉讼期间，除正在进行诉讼的部分外，合同其他部分继续执行。</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3.除判决另有规定外，一切涉诉合理费用均由违约方承担。</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十四、知识产权</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2.履行本合同产生的知识产权均归甲方所有。</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十五、合同的变更和终止</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除以上两条规定的情形外，本合同一经签订，甲乙双方不得擅自变更、中止或终止合同。</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十六、合同的分包和转让</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1.乙方不得部分或全部转让其应履行的合同义务；</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十七、违约责任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甲方无正当理由拒收服装的，甲方应支付5000元的违约金；</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交付的服装质量不符招标文件和投标文件规定的，乙方应在招标文件规定的时间内更换合格的服装给甲方，否则，视作乙方不能交付货而违约，按本条本款下述第“2”项规定由乙方支付违约赔偿金给甲方。</w:t>
      </w:r>
    </w:p>
    <w:p>
      <w:pPr>
        <w:adjustRightInd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能交付服装或逾期交付服装而违约的，除应及时按质、按量配送服装外，还应按3000元/天向甲方支付违约金；逾期交货超过2日历天，甲方有权终止合同并要求乙方偿付20000元赔偿金，并且甲方不予退还乙方履约保证金。</w:t>
      </w:r>
    </w:p>
    <w:p>
      <w:pPr>
        <w:adjustRightInd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3、乙方服装经甲方送交具有法定资格条件的质量技术监督机构检测后，如检测结果认定服装质量不符合招标文件和乙方投标文件规定标准的，则视为乙方没有按时交服装而违约，乙方须在</w:t>
      </w:r>
      <w:r>
        <w:rPr>
          <w:rFonts w:hint="eastAsia" w:ascii="宋体" w:hAnsi="宋体" w:eastAsia="宋体" w:cs="宋体"/>
          <w:color w:val="auto"/>
          <w:sz w:val="24"/>
          <w:szCs w:val="24"/>
          <w:highlight w:val="none"/>
          <w:lang w:val="en-US" w:eastAsia="zh-CN"/>
        </w:rPr>
        <w:t>12小时内</w:t>
      </w:r>
      <w:r>
        <w:rPr>
          <w:rFonts w:hint="eastAsia" w:ascii="宋体" w:hAnsi="宋体" w:eastAsia="宋体" w:cs="宋体"/>
          <w:color w:val="auto"/>
          <w:sz w:val="24"/>
          <w:szCs w:val="24"/>
          <w:highlight w:val="none"/>
        </w:rPr>
        <w:t>无条件更换合格的服装，如逾期不能更换合格的服装，甲方有权终止合同并要求乙方向甲方偿付20000元的赔偿金，并且甲方不予退还乙方履约保证金。</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招标文件和乙方的投标文件约定的时间及要求提供售后服务的，应按1000元/次向甲方支付违约金。超过两次（含），甲方有权聘请第三方提供服务，由此产生的费用全部由乙方承担，并且甲方不予退还乙方履约保证金。</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偿付的违约金不足以弥补甲方损失的，还应按甲方损失尚未弥补的部分，支付赔偿金给甲方，损失包括但不限于律师费、诉讼费、仲裁费、保全费、执行费、差旅费及其它实现权利的费用等。甲方有权在乙方未支付或逾期支付违约金时，从乙方缴纳的履约保证金中扣除相应金额，不足部分有权继续向乙方追偿。</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十八、组成本合同的有关文件 </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下列关于成都市技师学院（成都工贸职业技术学院）</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级</w:t>
      </w:r>
      <w:r>
        <w:rPr>
          <w:rFonts w:hint="eastAsia" w:ascii="宋体" w:hAnsi="宋体" w:eastAsia="宋体" w:cs="宋体"/>
          <w:color w:val="auto"/>
          <w:sz w:val="24"/>
          <w:szCs w:val="24"/>
          <w:highlight w:val="none"/>
        </w:rPr>
        <w:t>学生军训服采购项目(项目编号：XXXX)的招标文件、乙方的投标文件或与本次采购活动方式相适应的文件及有关附件是本合同不可分割的组成部分，与本合同具有同等法律效力，这些文件包括但不限于：</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1.甲方的招标文件</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2.乙方的投标文件；</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4.本合同列出的附件。</w:t>
      </w:r>
    </w:p>
    <w:p>
      <w:pPr>
        <w:autoSpaceDE w:val="0"/>
        <w:autoSpaceDN w:val="0"/>
        <w:adjustRightInd w:val="0"/>
        <w:spacing w:line="4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十九、其他</w:t>
      </w:r>
    </w:p>
    <w:p>
      <w:pPr>
        <w:pStyle w:val="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1.乙方制定的项目实施方案和售后服务方案详见乙方投标文件。</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2.本合同自乙方缴纳履约保证金后，且合同经双方法定代表人或授权委托代理人签字并加盖单位章后生效。</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3.如有未尽事宜，由双方依法订立补充合同。</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份，均具有同等法律效力。</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5.如本合同与甲方的招标文件、乙方的投标文件不一致时，以甲方的招标文件、乙方的投标文件为准。</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6.本合同应按照中华人民共和国的现行法律进行解释。</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箱：                邮    箱：</w:t>
      </w:r>
    </w:p>
    <w:p>
      <w:pPr>
        <w:autoSpaceDE w:val="0"/>
        <w:autoSpaceDN w:val="0"/>
        <w:adjustRightIn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签约日期：XX年XX月XX日    签约日期：XX年XX月XX日</w:t>
      </w:r>
    </w:p>
    <w:p>
      <w:pPr>
        <w:spacing w:line="240" w:lineRule="auto"/>
        <w:rPr>
          <w:rFonts w:hint="eastAsia" w:ascii="宋体" w:hAnsi="宋体" w:eastAsia="宋体" w:cs="宋体"/>
          <w:color w:val="auto"/>
          <w:sz w:val="22"/>
          <w:szCs w:val="22"/>
          <w:highlight w:val="none"/>
        </w:rPr>
      </w:pPr>
    </w:p>
    <w:sectPr>
      <w:headerReference r:id="rId45" w:type="default"/>
      <w:footerReference r:id="rId46" w:type="default"/>
      <w:type w:val="continuous"/>
      <w:pgSz w:w="11905" w:h="16838"/>
      <w:pgMar w:top="1417" w:right="1417" w:bottom="1417" w:left="1417" w:header="0" w:footer="113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à.ā">
    <w:altName w:val="宋体"/>
    <w:panose1 w:val="00000000000000000000"/>
    <w:charset w:val="86"/>
    <w:family w:val="modern"/>
    <w:pitch w:val="default"/>
    <w:sig w:usb0="00000000" w:usb1="00000000" w:usb2="00000010" w:usb3="00000000" w:csb0="00040000" w:csb1="00000000"/>
  </w:font>
  <w:font w:name="Dutch801 Rm BT">
    <w:altName w:val="Times New Roman"/>
    <w:panose1 w:val="00000000000000000000"/>
    <w:charset w:val="00"/>
    <w:family w:val="roman"/>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posOffset>2813050</wp:posOffset>
              </wp:positionH>
              <wp:positionV relativeFrom="paragraph">
                <wp:posOffset>0</wp:posOffset>
              </wp:positionV>
              <wp:extent cx="133350" cy="132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350" cy="132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0pt;height:10.4pt;width:10.5pt;mso-position-horizontal-relative:margin;z-index:251664384;mso-width-relative:page;mso-height-relative:page;" filled="f" stroked="f" coordsize="21600,21600" o:gfxdata="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0WiDtcAAAAHAQAADwAAAAAAAAABACAAAAAiAAAAZHJzL2Rvd25yZXYueG1sUEsB&#10;AhQAFAAAAAgAh07iQIENCbcvAgAAVQQAAA4AAAAAAAAAAQAgAAAAJgEAAGRycy9lMm9Eb2MueG1s&#10;UEsFBgAAAAAGAAYAWQEAAMcFAAAAAA==&#10;">
              <v:fill on="f" focussize="0,0"/>
              <v:stroke on="f" weight="0.5pt"/>
              <v:imagedata o:title=""/>
              <o:lock v:ext="edit" aspectratio="f"/>
              <v:textbox inset="0mm,0mm,0mm,0mm">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360" w:lineRule="exact"/>
      <w:ind w:right="13"/>
      <w:jc w:val="both"/>
      <w:outlineLvl w:val="1"/>
      <w:rPr>
        <w:rFonts w:ascii="宋体" w:hAnsi="宋体" w:eastAsia="宋体" w:cs="宋体"/>
        <w:b/>
        <w:bCs/>
        <w:spacing w:val="18"/>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7FA83"/>
    <w:multiLevelType w:val="singleLevel"/>
    <w:tmpl w:val="C667FA83"/>
    <w:lvl w:ilvl="0" w:tentative="0">
      <w:start w:val="1"/>
      <w:numFmt w:val="chineseCounting"/>
      <w:suff w:val="nothing"/>
      <w:lvlText w:val="%1、"/>
      <w:lvlJc w:val="left"/>
      <w:pPr>
        <w:ind w:left="-210" w:firstLine="420"/>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84AAD0C"/>
    <w:multiLevelType w:val="singleLevel"/>
    <w:tmpl w:val="E84AAD0C"/>
    <w:lvl w:ilvl="0" w:tentative="0">
      <w:start w:val="1"/>
      <w:numFmt w:val="decimal"/>
      <w:suff w:val="space"/>
      <w:lvlText w:val="%1."/>
      <w:lvlJc w:val="left"/>
    </w:lvl>
  </w:abstractNum>
  <w:abstractNum w:abstractNumId="3">
    <w:nsid w:val="3638A934"/>
    <w:multiLevelType w:val="singleLevel"/>
    <w:tmpl w:val="3638A934"/>
    <w:lvl w:ilvl="0" w:tentative="0">
      <w:start w:val="1"/>
      <w:numFmt w:val="decimal"/>
      <w:suff w:val="space"/>
      <w:lvlText w:val="(%1)"/>
      <w:lvlJc w:val="left"/>
    </w:lvl>
  </w:abstractNum>
  <w:abstractNum w:abstractNumId="4">
    <w:nsid w:val="7D271BFC"/>
    <w:multiLevelType w:val="multilevel"/>
    <w:tmpl w:val="7D271BFC"/>
    <w:lvl w:ilvl="0" w:tentative="0">
      <w:start w:val="1"/>
      <w:numFmt w:val="decimal"/>
      <w:pStyle w:val="3"/>
      <w:lvlText w:val="%1"/>
      <w:lvlJc w:val="left"/>
      <w:pPr>
        <w:ind w:left="0" w:firstLine="0"/>
      </w:pPr>
      <w:rPr>
        <w:rFonts w:hint="eastAsia" w:eastAsia="宋体" w:asciiTheme="majorEastAsia" w:hAnsiTheme="majorEastAsia"/>
      </w:rPr>
    </w:lvl>
    <w:lvl w:ilvl="1" w:tentative="0">
      <w:start w:val="1"/>
      <w:numFmt w:val="decimal"/>
      <w:lvlText w:val="%1.%2"/>
      <w:lvlJc w:val="left"/>
      <w:pPr>
        <w:ind w:left="-20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eastAsia="宋体" w:asciiTheme="minorEastAsia" w:hAnsiTheme="minor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4NjI5OTBmMDM1ODFlMDkzNDFlZTFiMWNhZWU5ZTMifQ=="/>
    <w:docVar w:name="KSO_WPS_MARK_KEY" w:val="222be758-bda7-44a6-b246-fdfb4510293e"/>
  </w:docVars>
  <w:rsids>
    <w:rsidRoot w:val="008719C1"/>
    <w:rsid w:val="00051814"/>
    <w:rsid w:val="000702A9"/>
    <w:rsid w:val="0007321C"/>
    <w:rsid w:val="00094D1B"/>
    <w:rsid w:val="000C3C4A"/>
    <w:rsid w:val="000E6E8C"/>
    <w:rsid w:val="0011241E"/>
    <w:rsid w:val="00150F44"/>
    <w:rsid w:val="001750BB"/>
    <w:rsid w:val="00242D84"/>
    <w:rsid w:val="00245B36"/>
    <w:rsid w:val="002567D6"/>
    <w:rsid w:val="00291492"/>
    <w:rsid w:val="002B467F"/>
    <w:rsid w:val="002C2650"/>
    <w:rsid w:val="00357C70"/>
    <w:rsid w:val="00375062"/>
    <w:rsid w:val="003F74DC"/>
    <w:rsid w:val="0046212F"/>
    <w:rsid w:val="004B7BAF"/>
    <w:rsid w:val="004E55D6"/>
    <w:rsid w:val="0050144E"/>
    <w:rsid w:val="00535710"/>
    <w:rsid w:val="005462E4"/>
    <w:rsid w:val="005B1EF9"/>
    <w:rsid w:val="00626690"/>
    <w:rsid w:val="006911F9"/>
    <w:rsid w:val="00695339"/>
    <w:rsid w:val="006C654F"/>
    <w:rsid w:val="006E2142"/>
    <w:rsid w:val="00727339"/>
    <w:rsid w:val="00741DEE"/>
    <w:rsid w:val="00754D26"/>
    <w:rsid w:val="007B34D4"/>
    <w:rsid w:val="007C5564"/>
    <w:rsid w:val="007D76F8"/>
    <w:rsid w:val="00834573"/>
    <w:rsid w:val="00844D1D"/>
    <w:rsid w:val="0087053C"/>
    <w:rsid w:val="008719C1"/>
    <w:rsid w:val="008A7277"/>
    <w:rsid w:val="008B0626"/>
    <w:rsid w:val="008D10AC"/>
    <w:rsid w:val="008D7556"/>
    <w:rsid w:val="0096105F"/>
    <w:rsid w:val="009B6095"/>
    <w:rsid w:val="00A15361"/>
    <w:rsid w:val="00A320BB"/>
    <w:rsid w:val="00AF71EC"/>
    <w:rsid w:val="00B750B4"/>
    <w:rsid w:val="00BB6CBE"/>
    <w:rsid w:val="00BC137B"/>
    <w:rsid w:val="00C72ADA"/>
    <w:rsid w:val="00C87311"/>
    <w:rsid w:val="00CB65C8"/>
    <w:rsid w:val="00D213AB"/>
    <w:rsid w:val="00DB2C11"/>
    <w:rsid w:val="00DB4762"/>
    <w:rsid w:val="00E43269"/>
    <w:rsid w:val="00E44010"/>
    <w:rsid w:val="00E74D86"/>
    <w:rsid w:val="014C6B4A"/>
    <w:rsid w:val="01FA47FF"/>
    <w:rsid w:val="023575E5"/>
    <w:rsid w:val="02384D4F"/>
    <w:rsid w:val="02A8425B"/>
    <w:rsid w:val="04E07DC6"/>
    <w:rsid w:val="0503653F"/>
    <w:rsid w:val="05EE6432"/>
    <w:rsid w:val="07524795"/>
    <w:rsid w:val="089D5EE4"/>
    <w:rsid w:val="093D7C65"/>
    <w:rsid w:val="0A0D7C0C"/>
    <w:rsid w:val="0A252635"/>
    <w:rsid w:val="0A451CC8"/>
    <w:rsid w:val="0A4A6956"/>
    <w:rsid w:val="0CBF0142"/>
    <w:rsid w:val="0CE20369"/>
    <w:rsid w:val="0D156991"/>
    <w:rsid w:val="0DEF271B"/>
    <w:rsid w:val="0DF62107"/>
    <w:rsid w:val="0E010CC3"/>
    <w:rsid w:val="0FA40D33"/>
    <w:rsid w:val="0FC46580"/>
    <w:rsid w:val="10E41578"/>
    <w:rsid w:val="114759AD"/>
    <w:rsid w:val="122D2087"/>
    <w:rsid w:val="12971BF6"/>
    <w:rsid w:val="12A32349"/>
    <w:rsid w:val="12C61DE6"/>
    <w:rsid w:val="14D7022E"/>
    <w:rsid w:val="15523CE6"/>
    <w:rsid w:val="1574174F"/>
    <w:rsid w:val="1708410F"/>
    <w:rsid w:val="19CA0387"/>
    <w:rsid w:val="1A22318D"/>
    <w:rsid w:val="1BA43EB2"/>
    <w:rsid w:val="1BCE1E6F"/>
    <w:rsid w:val="1C8C6544"/>
    <w:rsid w:val="1D3303F2"/>
    <w:rsid w:val="1D4E6BA1"/>
    <w:rsid w:val="1EEE7042"/>
    <w:rsid w:val="20501FE2"/>
    <w:rsid w:val="20713A86"/>
    <w:rsid w:val="20D56041"/>
    <w:rsid w:val="22634B37"/>
    <w:rsid w:val="230C7A96"/>
    <w:rsid w:val="23887A65"/>
    <w:rsid w:val="23EA41CD"/>
    <w:rsid w:val="24A95977"/>
    <w:rsid w:val="24DA04C5"/>
    <w:rsid w:val="251867F4"/>
    <w:rsid w:val="255C11BE"/>
    <w:rsid w:val="25A21EB7"/>
    <w:rsid w:val="25D90BC5"/>
    <w:rsid w:val="268B6BF5"/>
    <w:rsid w:val="27271343"/>
    <w:rsid w:val="28123DA1"/>
    <w:rsid w:val="2824061B"/>
    <w:rsid w:val="283A7430"/>
    <w:rsid w:val="293D0904"/>
    <w:rsid w:val="294F692F"/>
    <w:rsid w:val="2A5F5AD7"/>
    <w:rsid w:val="2A906F48"/>
    <w:rsid w:val="2C185918"/>
    <w:rsid w:val="2C8E3C12"/>
    <w:rsid w:val="2DC21E30"/>
    <w:rsid w:val="2E861936"/>
    <w:rsid w:val="2ECA68A6"/>
    <w:rsid w:val="2EEF03BC"/>
    <w:rsid w:val="2F7075FF"/>
    <w:rsid w:val="2F762ECD"/>
    <w:rsid w:val="300D5F53"/>
    <w:rsid w:val="30D3190E"/>
    <w:rsid w:val="312A7602"/>
    <w:rsid w:val="31E746EC"/>
    <w:rsid w:val="32146FC0"/>
    <w:rsid w:val="33644AC5"/>
    <w:rsid w:val="35566808"/>
    <w:rsid w:val="359B252E"/>
    <w:rsid w:val="36070CBD"/>
    <w:rsid w:val="360D204B"/>
    <w:rsid w:val="36B349A1"/>
    <w:rsid w:val="37904CE2"/>
    <w:rsid w:val="39BA7DF4"/>
    <w:rsid w:val="39C62C3D"/>
    <w:rsid w:val="3A974937"/>
    <w:rsid w:val="3AA552E8"/>
    <w:rsid w:val="3AC709D8"/>
    <w:rsid w:val="3AF03D3D"/>
    <w:rsid w:val="3BEB5355"/>
    <w:rsid w:val="3C17295E"/>
    <w:rsid w:val="3C426303"/>
    <w:rsid w:val="3CAD2B7D"/>
    <w:rsid w:val="3CF32BCF"/>
    <w:rsid w:val="3CF94223"/>
    <w:rsid w:val="3D435C48"/>
    <w:rsid w:val="3E06217E"/>
    <w:rsid w:val="3FA7505A"/>
    <w:rsid w:val="40BC3CD2"/>
    <w:rsid w:val="4105229D"/>
    <w:rsid w:val="416C40CA"/>
    <w:rsid w:val="41F00B11"/>
    <w:rsid w:val="41F62B9C"/>
    <w:rsid w:val="42641ED5"/>
    <w:rsid w:val="42652173"/>
    <w:rsid w:val="426D556C"/>
    <w:rsid w:val="43BF6572"/>
    <w:rsid w:val="445552E9"/>
    <w:rsid w:val="45E70F36"/>
    <w:rsid w:val="45E80733"/>
    <w:rsid w:val="4698770F"/>
    <w:rsid w:val="47046B53"/>
    <w:rsid w:val="47727F60"/>
    <w:rsid w:val="492C786D"/>
    <w:rsid w:val="49520049"/>
    <w:rsid w:val="49690EEF"/>
    <w:rsid w:val="498A77E3"/>
    <w:rsid w:val="4A101B76"/>
    <w:rsid w:val="4B0D4E47"/>
    <w:rsid w:val="4C2D4456"/>
    <w:rsid w:val="4C8F5111"/>
    <w:rsid w:val="4C9E060E"/>
    <w:rsid w:val="4CB6269D"/>
    <w:rsid w:val="4D0F2D07"/>
    <w:rsid w:val="4F3568FD"/>
    <w:rsid w:val="507D1E8B"/>
    <w:rsid w:val="50AF14D1"/>
    <w:rsid w:val="51703467"/>
    <w:rsid w:val="51D40A01"/>
    <w:rsid w:val="521A722A"/>
    <w:rsid w:val="52557CF2"/>
    <w:rsid w:val="52722424"/>
    <w:rsid w:val="52C66A8C"/>
    <w:rsid w:val="52DC0710"/>
    <w:rsid w:val="53642E53"/>
    <w:rsid w:val="543A0058"/>
    <w:rsid w:val="54566453"/>
    <w:rsid w:val="54F95D51"/>
    <w:rsid w:val="553B5659"/>
    <w:rsid w:val="5548377E"/>
    <w:rsid w:val="5579695E"/>
    <w:rsid w:val="56220DA3"/>
    <w:rsid w:val="56F50266"/>
    <w:rsid w:val="571526B6"/>
    <w:rsid w:val="57ED183D"/>
    <w:rsid w:val="57F55EB3"/>
    <w:rsid w:val="588D419D"/>
    <w:rsid w:val="592D022A"/>
    <w:rsid w:val="594C028D"/>
    <w:rsid w:val="59B16258"/>
    <w:rsid w:val="59B71EC6"/>
    <w:rsid w:val="5A0768A2"/>
    <w:rsid w:val="5A4C23DB"/>
    <w:rsid w:val="5AC228CE"/>
    <w:rsid w:val="5BD00334"/>
    <w:rsid w:val="5CF709BF"/>
    <w:rsid w:val="5DB03C82"/>
    <w:rsid w:val="5E20787C"/>
    <w:rsid w:val="5EBA2BA1"/>
    <w:rsid w:val="60120C7F"/>
    <w:rsid w:val="6042008A"/>
    <w:rsid w:val="61004E34"/>
    <w:rsid w:val="614C3178"/>
    <w:rsid w:val="63357754"/>
    <w:rsid w:val="639D7B4D"/>
    <w:rsid w:val="649E018F"/>
    <w:rsid w:val="64CD4F19"/>
    <w:rsid w:val="64D977A3"/>
    <w:rsid w:val="65AF4410"/>
    <w:rsid w:val="66903B07"/>
    <w:rsid w:val="669C2357"/>
    <w:rsid w:val="66D02EB2"/>
    <w:rsid w:val="66E4700F"/>
    <w:rsid w:val="672F7159"/>
    <w:rsid w:val="67DC3307"/>
    <w:rsid w:val="689A52B4"/>
    <w:rsid w:val="6A720EF8"/>
    <w:rsid w:val="6AEB3A02"/>
    <w:rsid w:val="6D543AE1"/>
    <w:rsid w:val="6FB71363"/>
    <w:rsid w:val="6FC300B2"/>
    <w:rsid w:val="6FD35191"/>
    <w:rsid w:val="70883DE4"/>
    <w:rsid w:val="71F92EA9"/>
    <w:rsid w:val="720D17BF"/>
    <w:rsid w:val="72F97729"/>
    <w:rsid w:val="74F778A6"/>
    <w:rsid w:val="75294EF6"/>
    <w:rsid w:val="755C79D6"/>
    <w:rsid w:val="75726FA5"/>
    <w:rsid w:val="75B73ED4"/>
    <w:rsid w:val="76277C79"/>
    <w:rsid w:val="772070F2"/>
    <w:rsid w:val="77AE0A69"/>
    <w:rsid w:val="77F9207D"/>
    <w:rsid w:val="78A376CA"/>
    <w:rsid w:val="79423801"/>
    <w:rsid w:val="7A044199"/>
    <w:rsid w:val="7B6C2EA0"/>
    <w:rsid w:val="7B7B072C"/>
    <w:rsid w:val="7B7C6C4B"/>
    <w:rsid w:val="7B8C2698"/>
    <w:rsid w:val="7CD3000F"/>
    <w:rsid w:val="7D0A3BC9"/>
    <w:rsid w:val="7DC469EB"/>
    <w:rsid w:val="7DED391C"/>
    <w:rsid w:val="7EED24D1"/>
    <w:rsid w:val="7F535449"/>
    <w:rsid w:val="AC7C9331"/>
    <w:rsid w:val="AFB534B6"/>
    <w:rsid w:val="B1DEB752"/>
    <w:rsid w:val="EFFE2178"/>
    <w:rsid w:val="F5BF9143"/>
    <w:rsid w:val="FF6CD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paragraph" w:styleId="5">
    <w:name w:val="heading 3"/>
    <w:basedOn w:val="1"/>
    <w:next w:val="1"/>
    <w:qFormat/>
    <w:uiPriority w:val="9"/>
    <w:pPr>
      <w:outlineLvl w:val="2"/>
    </w:pPr>
    <w:rPr>
      <w:sz w:val="30"/>
    </w:rPr>
  </w:style>
  <w:style w:type="paragraph" w:styleId="6">
    <w:name w:val="heading 4"/>
    <w:basedOn w:val="1"/>
    <w:next w:val="1"/>
    <w:qFormat/>
    <w:uiPriority w:val="99"/>
    <w:pPr>
      <w:keepNext/>
      <w:keepLines/>
      <w:spacing w:before="280" w:after="290" w:line="372" w:lineRule="auto"/>
      <w:outlineLvl w:val="3"/>
    </w:pPr>
    <w:rPr>
      <w:rFonts w:eastAsia="黑体" w:cs="Times New Roman"/>
      <w:b/>
      <w:bCs/>
      <w:sz w:val="28"/>
      <w:szCs w:val="28"/>
    </w:rPr>
  </w:style>
  <w:style w:type="paragraph" w:styleId="7">
    <w:name w:val="heading 9"/>
    <w:basedOn w:val="1"/>
    <w:next w:val="1"/>
    <w:semiHidden/>
    <w:unhideWhenUsed/>
    <w:qFormat/>
    <w:uiPriority w:val="0"/>
    <w:pPr>
      <w:keepNext/>
      <w:keepLines/>
      <w:spacing w:before="240" w:after="64" w:line="317" w:lineRule="auto"/>
      <w:outlineLvl w:val="8"/>
    </w:pPr>
    <w:rPr>
      <w:rFonts w:eastAsia="黑体"/>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sz w:val="20"/>
      <w:szCs w:val="20"/>
    </w:rPr>
  </w:style>
  <w:style w:type="paragraph" w:styleId="8">
    <w:name w:val="Normal Indent"/>
    <w:basedOn w:val="1"/>
    <w:qFormat/>
    <w:uiPriority w:val="0"/>
    <w:pPr>
      <w:ind w:firstLine="420"/>
    </w:pPr>
    <w:rPr>
      <w:szCs w:val="20"/>
    </w:rPr>
  </w:style>
  <w:style w:type="paragraph" w:styleId="9">
    <w:name w:val="annotation text"/>
    <w:basedOn w:val="1"/>
    <w:link w:val="39"/>
    <w:qFormat/>
    <w:uiPriority w:val="0"/>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9"/>
    <w:next w:val="9"/>
    <w:link w:val="40"/>
    <w:qFormat/>
    <w:uiPriority w:val="0"/>
    <w:rPr>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20">
    <w:name w:val="Table Professional"/>
    <w:unhideWhenUsed/>
    <w:qFormat/>
    <w:uiPriority w:val="99"/>
    <w:pPr>
      <w:widowControl w:val="0"/>
      <w:jc w:val="both"/>
    </w:pPr>
    <w:rPr>
      <w:rFonts w:ascii="等线" w:hAnsi="等线" w:eastAsia="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22">
    <w:name w:val="annotation reference"/>
    <w:basedOn w:val="21"/>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table" w:customStyle="1" w:styleId="30">
    <w:name w:val="Table1"/>
    <w:qFormat/>
    <w:uiPriority w:val="0"/>
    <w:rPr>
      <w:rFonts w:cs="Arial"/>
    </w:rPr>
    <w:tblPr>
      <w:tblCellMar>
        <w:top w:w="0" w:type="dxa"/>
        <w:left w:w="0" w:type="dxa"/>
        <w:bottom w:w="0" w:type="dxa"/>
        <w:right w:w="0"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1">
    <w:name w:val="网格型2"/>
    <w:qFormat/>
    <w:uiPriority w:val="39"/>
    <w:rPr>
      <w:rFonts w:ascii="Dutch801 Rm BT" w:hAnsi="Dutch801 Rm BT" w:cs="Dutch801 Rm B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2">
    <w:name w:val="网格型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3">
    <w:name w:val="font51"/>
    <w:basedOn w:val="21"/>
    <w:qFormat/>
    <w:uiPriority w:val="0"/>
    <w:rPr>
      <w:rFonts w:hint="eastAsia" w:ascii="仿宋" w:hAnsi="仿宋" w:eastAsia="仿宋" w:cs="仿宋"/>
      <w:color w:val="000000"/>
      <w:sz w:val="20"/>
      <w:szCs w:val="20"/>
      <w:u w:val="none"/>
    </w:r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71"/>
    <w:basedOn w:val="21"/>
    <w:qFormat/>
    <w:uiPriority w:val="0"/>
    <w:rPr>
      <w:rFonts w:ascii="Calibri" w:hAnsi="Calibri" w:cs="Calibri"/>
      <w:color w:val="000000"/>
      <w:sz w:val="20"/>
      <w:szCs w:val="20"/>
      <w:u w:val="none"/>
    </w:rPr>
  </w:style>
  <w:style w:type="character" w:customStyle="1" w:styleId="36">
    <w:name w:val="font81"/>
    <w:basedOn w:val="21"/>
    <w:qFormat/>
    <w:uiPriority w:val="0"/>
    <w:rPr>
      <w:rFonts w:ascii="Arial" w:hAnsi="Arial" w:cs="Arial"/>
      <w:color w:val="000000"/>
      <w:sz w:val="20"/>
      <w:szCs w:val="20"/>
      <w:u w:val="none"/>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9">
    <w:name w:val="批注文字 字符"/>
    <w:basedOn w:val="21"/>
    <w:link w:val="9"/>
    <w:qFormat/>
    <w:uiPriority w:val="0"/>
    <w:rPr>
      <w:rFonts w:ascii="Arial" w:hAnsi="Arial" w:eastAsia="Arial" w:cs="Arial"/>
      <w:snapToGrid w:val="0"/>
      <w:color w:val="000000"/>
      <w:sz w:val="21"/>
      <w:szCs w:val="21"/>
    </w:rPr>
  </w:style>
  <w:style w:type="character" w:customStyle="1" w:styleId="40">
    <w:name w:val="批注主题 字符"/>
    <w:basedOn w:val="39"/>
    <w:link w:val="17"/>
    <w:qFormat/>
    <w:uiPriority w:val="0"/>
    <w:rPr>
      <w:rFonts w:ascii="Arial" w:hAnsi="Arial" w:eastAsia="Arial" w:cs="Arial"/>
      <w:b/>
      <w:bCs/>
      <w:snapToGrid w:val="0"/>
      <w:color w:val="000000"/>
      <w:sz w:val="21"/>
      <w:szCs w:val="21"/>
    </w:rPr>
  </w:style>
  <w:style w:type="character" w:customStyle="1" w:styleId="41">
    <w:name w:val="font41"/>
    <w:basedOn w:val="21"/>
    <w:qFormat/>
    <w:uiPriority w:val="0"/>
    <w:rPr>
      <w:rFonts w:hint="eastAsia" w:ascii="仿宋" w:hAnsi="仿宋" w:eastAsia="仿宋" w:cs="仿宋"/>
      <w:color w:val="000000"/>
      <w:sz w:val="20"/>
      <w:szCs w:val="20"/>
      <w:u w:val="none"/>
    </w:rPr>
  </w:style>
  <w:style w:type="paragraph" w:customStyle="1" w:styleId="42">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43">
    <w:name w:val="05、“(一)”正文三级标题"/>
    <w:basedOn w:val="1"/>
    <w:qFormat/>
    <w:uiPriority w:val="0"/>
    <w:pPr>
      <w:numPr>
        <w:ilvl w:val="1"/>
        <w:numId w:val="2"/>
      </w:numPr>
      <w:tabs>
        <w:tab w:val="left" w:pos="0"/>
      </w:tabs>
      <w:wordWrap w:val="0"/>
      <w:topLinePunct/>
      <w:ind w:firstLine="803" w:firstLineChars="200"/>
    </w:pPr>
  </w:style>
  <w:style w:type="paragraph" w:customStyle="1" w:styleId="44">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5">
    <w:name w:val="正文（绿盟科技）"/>
    <w:next w:val="1"/>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35646</Words>
  <Characters>37640</Characters>
  <Lines>933</Lines>
  <Paragraphs>262</Paragraphs>
  <TotalTime>1</TotalTime>
  <ScaleCrop>false</ScaleCrop>
  <LinksUpToDate>false</LinksUpToDate>
  <CharactersWithSpaces>40020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2022-07-07T18:11:00Z</dcterms:created>
  <dc:creator>s</dc:creator>
  <cp:lastModifiedBy>Y</cp:lastModifiedBy>
  <dcterms:modified xsi:type="dcterms:W3CDTF">2024-07-09T07:14:42Z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2022-09-01T15:46:13Z</vt:filetime>
  </property>
  <property fmtid="{D5CDD505-2E9C-101B-9397-08002B2CF9AE}" pid="4" name="KSOProductBuildVer">
    <vt:lpwstr>2052-12.1.0.16929</vt:lpwstr>
  </property>
  <property fmtid="{D5CDD505-2E9C-101B-9397-08002B2CF9AE}" pid="5" name="ICV">
    <vt:lpwstr>34E8844BDB784AA780BFF3B338942958_13</vt:lpwstr>
  </property>
</Properties>
</file>